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96" w:rsidRPr="00021684" w:rsidRDefault="00416496" w:rsidP="00416496">
      <w:pPr>
        <w:spacing w:line="360" w:lineRule="auto"/>
        <w:rPr>
          <w:b/>
          <w:bCs/>
          <w:sz w:val="24"/>
        </w:rPr>
      </w:pPr>
      <w:r w:rsidRPr="00021684">
        <w:rPr>
          <w:b/>
          <w:bCs/>
          <w:sz w:val="24"/>
        </w:rPr>
        <w:t>Sample extended abstract:</w:t>
      </w:r>
    </w:p>
    <w:p w:rsidR="00416496" w:rsidRDefault="00416496" w:rsidP="00416496">
      <w:pPr>
        <w:pStyle w:val="Heading1"/>
        <w:jc w:val="center"/>
        <w:rPr>
          <w:sz w:val="28"/>
          <w:szCs w:val="28"/>
        </w:rPr>
      </w:pPr>
      <w:proofErr w:type="spellStart"/>
      <w:r w:rsidRPr="00554780">
        <w:rPr>
          <w:sz w:val="28"/>
          <w:szCs w:val="28"/>
        </w:rPr>
        <w:t>Tenogenic</w:t>
      </w:r>
      <w:proofErr w:type="spellEnd"/>
      <w:r w:rsidRPr="00554780">
        <w:rPr>
          <w:sz w:val="28"/>
          <w:szCs w:val="28"/>
        </w:rPr>
        <w:t xml:space="preserve"> effects of </w:t>
      </w:r>
      <w:proofErr w:type="spellStart"/>
      <w:r w:rsidRPr="00554780">
        <w:rPr>
          <w:sz w:val="28"/>
          <w:szCs w:val="28"/>
        </w:rPr>
        <w:t>silymarin</w:t>
      </w:r>
      <w:proofErr w:type="spellEnd"/>
      <w:r w:rsidRPr="00554780">
        <w:rPr>
          <w:sz w:val="28"/>
          <w:szCs w:val="28"/>
        </w:rPr>
        <w:t xml:space="preserve"> following experimental Achilles tendon transection in rats</w:t>
      </w:r>
    </w:p>
    <w:p w:rsidR="00416496" w:rsidRPr="00554780" w:rsidRDefault="00416496" w:rsidP="00416496"/>
    <w:p w:rsidR="00416496" w:rsidRPr="00554780" w:rsidRDefault="00416496" w:rsidP="00416496">
      <w:pPr>
        <w:jc w:val="center"/>
        <w:rPr>
          <w:sz w:val="24"/>
        </w:rPr>
      </w:pPr>
      <w:proofErr w:type="spellStart"/>
      <w:r w:rsidRPr="00554780">
        <w:rPr>
          <w:rStyle w:val="authors-list-item"/>
          <w:sz w:val="24"/>
        </w:rPr>
        <w:t>Hazhir</w:t>
      </w:r>
      <w:proofErr w:type="spellEnd"/>
      <w:r w:rsidRPr="00554780">
        <w:rPr>
          <w:rStyle w:val="authors-list-item"/>
          <w:sz w:val="24"/>
        </w:rPr>
        <w:t xml:space="preserve"> </w:t>
      </w:r>
      <w:proofErr w:type="spellStart"/>
      <w:r w:rsidRPr="00554780">
        <w:rPr>
          <w:rStyle w:val="authors-list-item"/>
          <w:sz w:val="24"/>
        </w:rPr>
        <w:t>Soleimani</w:t>
      </w:r>
      <w:proofErr w:type="spellEnd"/>
      <w:r w:rsidRPr="00554780">
        <w:rPr>
          <w:rStyle w:val="authors-list-item"/>
          <w:sz w:val="24"/>
          <w:vertAlign w:val="superscript"/>
        </w:rPr>
        <w:t xml:space="preserve"> 1</w:t>
      </w:r>
      <w:r w:rsidRPr="00554780">
        <w:rPr>
          <w:rStyle w:val="authors-list-item"/>
          <w:sz w:val="24"/>
        </w:rPr>
        <w:t>,</w:t>
      </w:r>
      <w:r w:rsidRPr="00554780">
        <w:rPr>
          <w:rStyle w:val="comma"/>
          <w:sz w:val="24"/>
        </w:rPr>
        <w:t> </w:t>
      </w:r>
      <w:r w:rsidRPr="00554780">
        <w:rPr>
          <w:rStyle w:val="authors-list-item"/>
          <w:sz w:val="24"/>
          <w:u w:val="single"/>
        </w:rPr>
        <w:t xml:space="preserve">Mehdi </w:t>
      </w:r>
      <w:proofErr w:type="spellStart"/>
      <w:r w:rsidRPr="00554780">
        <w:rPr>
          <w:rStyle w:val="authors-list-item"/>
          <w:sz w:val="24"/>
          <w:u w:val="single"/>
        </w:rPr>
        <w:t>Behfar</w:t>
      </w:r>
      <w:proofErr w:type="spellEnd"/>
      <w:r w:rsidRPr="00554780">
        <w:rPr>
          <w:rStyle w:val="author-sup-separator"/>
          <w:sz w:val="24"/>
          <w:u w:val="single"/>
          <w:vertAlign w:val="superscript"/>
        </w:rPr>
        <w:t> </w:t>
      </w:r>
      <w:r w:rsidRPr="00554780">
        <w:rPr>
          <w:rStyle w:val="authors-list-item"/>
          <w:sz w:val="24"/>
          <w:u w:val="single"/>
          <w:vertAlign w:val="superscript"/>
        </w:rPr>
        <w:t>2</w:t>
      </w:r>
      <w:r w:rsidRPr="00554780">
        <w:rPr>
          <w:rStyle w:val="authors-list-item"/>
          <w:sz w:val="24"/>
        </w:rPr>
        <w:t>,</w:t>
      </w:r>
      <w:r w:rsidRPr="00554780">
        <w:rPr>
          <w:rStyle w:val="comma"/>
          <w:sz w:val="24"/>
        </w:rPr>
        <w:t> </w:t>
      </w:r>
      <w:r w:rsidRPr="00554780">
        <w:rPr>
          <w:rStyle w:val="authors-list-item"/>
          <w:sz w:val="24"/>
        </w:rPr>
        <w:t>Rahim Hobbenaghi</w:t>
      </w:r>
      <w:r w:rsidRPr="00554780">
        <w:rPr>
          <w:rStyle w:val="authors-list-item"/>
          <w:sz w:val="24"/>
          <w:vertAlign w:val="superscript"/>
        </w:rPr>
        <w:t>3</w:t>
      </w:r>
    </w:p>
    <w:p w:rsidR="00416496" w:rsidRPr="00554780" w:rsidRDefault="00416496" w:rsidP="00416496">
      <w:pPr>
        <w:spacing w:line="360" w:lineRule="auto"/>
        <w:rPr>
          <w:sz w:val="24"/>
        </w:rPr>
      </w:pPr>
    </w:p>
    <w:p w:rsidR="00416496" w:rsidRPr="00554780" w:rsidRDefault="00416496" w:rsidP="00416496">
      <w:pPr>
        <w:spacing w:line="360" w:lineRule="auto"/>
        <w:jc w:val="center"/>
        <w:rPr>
          <w:sz w:val="24"/>
        </w:rPr>
      </w:pPr>
    </w:p>
    <w:p w:rsidR="00416496" w:rsidRPr="00554780" w:rsidRDefault="00416496" w:rsidP="00416496">
      <w:pPr>
        <w:spacing w:line="360" w:lineRule="auto"/>
        <w:jc w:val="center"/>
        <w:rPr>
          <w:sz w:val="24"/>
        </w:rPr>
      </w:pPr>
      <w:r w:rsidRPr="00554780">
        <w:rPr>
          <w:sz w:val="24"/>
          <w:vertAlign w:val="superscript"/>
        </w:rPr>
        <w:t xml:space="preserve">1 </w:t>
      </w:r>
      <w:r w:rsidRPr="00554780">
        <w:rPr>
          <w:sz w:val="24"/>
        </w:rPr>
        <w:t>DVM Graduate, Faculty of Veterinary Medicine, Urmia University, Urmia, Iran.</w:t>
      </w:r>
    </w:p>
    <w:p w:rsidR="00416496" w:rsidRPr="00554780" w:rsidRDefault="00416496" w:rsidP="00416496">
      <w:pPr>
        <w:spacing w:line="360" w:lineRule="auto"/>
        <w:jc w:val="center"/>
        <w:rPr>
          <w:sz w:val="24"/>
        </w:rPr>
      </w:pPr>
      <w:r w:rsidRPr="00554780">
        <w:rPr>
          <w:sz w:val="24"/>
          <w:vertAlign w:val="superscript"/>
        </w:rPr>
        <w:t xml:space="preserve">2 </w:t>
      </w:r>
      <w:r w:rsidRPr="00554780">
        <w:rPr>
          <w:sz w:val="24"/>
        </w:rPr>
        <w:t>Department of Surgery and Diagnostic Imaging, Faculty of Veterinary Medicine, Urmia University, Urmia, Iran.</w:t>
      </w:r>
    </w:p>
    <w:p w:rsidR="00416496" w:rsidRPr="00554780" w:rsidRDefault="00416496" w:rsidP="00416496">
      <w:pPr>
        <w:spacing w:line="360" w:lineRule="auto"/>
        <w:jc w:val="center"/>
        <w:rPr>
          <w:sz w:val="24"/>
        </w:rPr>
      </w:pPr>
      <w:r w:rsidRPr="00554780">
        <w:rPr>
          <w:sz w:val="24"/>
          <w:vertAlign w:val="superscript"/>
        </w:rPr>
        <w:t xml:space="preserve">3 </w:t>
      </w:r>
      <w:r w:rsidRPr="00554780">
        <w:rPr>
          <w:sz w:val="24"/>
        </w:rPr>
        <w:t>Department of Pathobiology, Faculty of Veterinary Medicine, Urmia University, Urmia, Iran.</w:t>
      </w:r>
    </w:p>
    <w:p w:rsidR="00416496" w:rsidRPr="00554780" w:rsidRDefault="00416496" w:rsidP="00416496">
      <w:pPr>
        <w:spacing w:line="360" w:lineRule="auto"/>
        <w:jc w:val="center"/>
        <w:rPr>
          <w:rFonts w:asciiTheme="majorBidi" w:hAnsiTheme="majorBidi" w:cstheme="majorBidi"/>
          <w:i/>
          <w:sz w:val="24"/>
        </w:rPr>
      </w:pPr>
      <w:r w:rsidRPr="008532DB">
        <w:rPr>
          <w:rFonts w:asciiTheme="majorBidi" w:hAnsiTheme="majorBidi" w:cstheme="majorBidi"/>
          <w:b/>
          <w:bCs/>
          <w:i/>
          <w:sz w:val="24"/>
        </w:rPr>
        <w:t>E-mail:</w:t>
      </w:r>
      <w:r w:rsidRPr="00554780">
        <w:rPr>
          <w:rFonts w:asciiTheme="majorBidi" w:hAnsiTheme="majorBidi" w:cstheme="majorBidi"/>
          <w:i/>
          <w:sz w:val="24"/>
        </w:rPr>
        <w:t xml:space="preserve"> m.behfar@urmia.ac.ir</w:t>
      </w:r>
    </w:p>
    <w:p w:rsidR="00241C8B" w:rsidRPr="00241C8B" w:rsidRDefault="00241C8B" w:rsidP="00FC4330">
      <w:pPr>
        <w:spacing w:before="100" w:beforeAutospacing="1" w:after="100" w:afterAutospacing="1" w:line="360" w:lineRule="auto"/>
        <w:jc w:val="both"/>
        <w:rPr>
          <w:rFonts w:asciiTheme="majorBidi" w:hAnsiTheme="majorBidi" w:cstheme="majorBidi"/>
          <w:b/>
          <w:bCs/>
          <w:spacing w:val="-4"/>
          <w:sz w:val="24"/>
        </w:rPr>
      </w:pPr>
      <w:r w:rsidRPr="00241C8B">
        <w:rPr>
          <w:rFonts w:asciiTheme="majorBidi" w:hAnsiTheme="majorBidi" w:cstheme="majorBidi"/>
          <w:b/>
          <w:bCs/>
          <w:spacing w:val="-4"/>
          <w:sz w:val="24"/>
        </w:rPr>
        <w:t>Abstract</w:t>
      </w:r>
    </w:p>
    <w:p w:rsidR="00B71DCF" w:rsidRPr="00332F61" w:rsidRDefault="00B71DCF" w:rsidP="00FC4330">
      <w:pPr>
        <w:spacing w:before="100" w:beforeAutospacing="1" w:after="100" w:afterAutospacing="1" w:line="360" w:lineRule="auto"/>
        <w:jc w:val="both"/>
        <w:rPr>
          <w:rFonts w:asciiTheme="majorBidi" w:hAnsiTheme="majorBidi" w:cstheme="majorBidi"/>
          <w:spacing w:val="-4"/>
          <w:sz w:val="24"/>
        </w:rPr>
      </w:pPr>
      <w:r w:rsidRPr="00332F61">
        <w:rPr>
          <w:rFonts w:asciiTheme="majorBidi" w:hAnsiTheme="majorBidi" w:cstheme="majorBidi"/>
          <w:spacing w:val="-4"/>
          <w:sz w:val="24"/>
        </w:rPr>
        <w:t>Tendon healing is prolonged due to the small number of cells, poor circulation, and low metabolism. The optimal tendon healing and its complete functional recovery have always been a challenge for researchers. Silymarin possesses anti-inflammatory, anti-oxidant, analgesic, and regenerative properties. The present study aimed to investigate the effects of silymarin on healing the Achilles tendon in rats. Twenty-four male Wistar rats were divided into two groups of control and treatment. After surgical preparation, a complete transverse incision was made in the middle part of the Achilles tendon, and then suture was placed. The control group received 1</w:t>
      </w:r>
      <w:r w:rsidR="00FC4330">
        <w:rPr>
          <w:rFonts w:asciiTheme="majorBidi" w:hAnsiTheme="majorBidi" w:cstheme="majorBidi"/>
          <w:spacing w:val="-4"/>
          <w:sz w:val="24"/>
        </w:rPr>
        <w:t xml:space="preserve"> </w:t>
      </w:r>
      <w:r w:rsidRPr="00332F61">
        <w:rPr>
          <w:rFonts w:asciiTheme="majorBidi" w:hAnsiTheme="majorBidi" w:cstheme="majorBidi"/>
          <w:spacing w:val="-4"/>
          <w:sz w:val="24"/>
        </w:rPr>
        <w:t>mL normal saline for five consecutive days, and the treatment group received 50</w:t>
      </w:r>
      <w:r w:rsidR="00332F61">
        <w:rPr>
          <w:rFonts w:asciiTheme="majorBidi" w:hAnsiTheme="majorBidi" w:cstheme="majorBidi"/>
          <w:spacing w:val="-4"/>
          <w:sz w:val="24"/>
        </w:rPr>
        <w:t xml:space="preserve"> </w:t>
      </w:r>
      <w:r w:rsidRPr="00332F61">
        <w:rPr>
          <w:rFonts w:asciiTheme="majorBidi" w:hAnsiTheme="majorBidi" w:cstheme="majorBidi"/>
          <w:spacing w:val="-4"/>
          <w:sz w:val="24"/>
        </w:rPr>
        <w:t>mg</w:t>
      </w:r>
      <w:r w:rsidR="00332F61" w:rsidRPr="00332F61">
        <w:rPr>
          <w:rFonts w:asciiTheme="majorBidi" w:hAnsiTheme="majorBidi" w:cstheme="majorBidi"/>
          <w:spacing w:val="-4"/>
          <w:sz w:val="24"/>
        </w:rPr>
        <w:t>/</w:t>
      </w:r>
      <w:r w:rsidRPr="00332F61">
        <w:rPr>
          <w:rFonts w:asciiTheme="majorBidi" w:hAnsiTheme="majorBidi" w:cstheme="majorBidi"/>
          <w:spacing w:val="-4"/>
          <w:sz w:val="24"/>
        </w:rPr>
        <w:t>kg of silymarin for five days, orally. Histopathologically, a significant increase in the density of collagen fibers and reduction in neovascularization and inflammatory cells infiltration were observed in the treatment group. The biomechanical evaluation showed a significant increase in tensile strength of the tendon in the treatment group compared to the control group. The present study results showed that oral administration of silymarin improved tissue healing indices and biomechanical properties</w:t>
      </w:r>
      <w:r w:rsidR="00332F61" w:rsidRPr="00332F61">
        <w:rPr>
          <w:rFonts w:asciiTheme="majorBidi" w:hAnsiTheme="majorBidi" w:cstheme="majorBidi"/>
          <w:spacing w:val="-4"/>
          <w:sz w:val="24"/>
        </w:rPr>
        <w:t xml:space="preserve"> </w:t>
      </w:r>
      <w:r w:rsidRPr="00332F61">
        <w:rPr>
          <w:rFonts w:asciiTheme="majorBidi" w:hAnsiTheme="majorBidi" w:cstheme="majorBidi"/>
          <w:spacing w:val="-4"/>
          <w:sz w:val="24"/>
        </w:rPr>
        <w:t>leading to optimal healing of experimental Achilles tendon injury in the rat.</w:t>
      </w:r>
    </w:p>
    <w:p w:rsidR="00332F61" w:rsidRPr="00047A0B" w:rsidRDefault="00332F61" w:rsidP="00332F61">
      <w:pPr>
        <w:spacing w:before="100" w:beforeAutospacing="1" w:after="100" w:afterAutospacing="1" w:line="360" w:lineRule="auto"/>
        <w:jc w:val="both"/>
        <w:outlineLvl w:val="1"/>
        <w:rPr>
          <w:rFonts w:asciiTheme="majorBidi" w:hAnsiTheme="majorBidi" w:cstheme="majorBidi"/>
          <w:b/>
          <w:bCs/>
          <w:sz w:val="24"/>
        </w:rPr>
      </w:pPr>
      <w:r w:rsidRPr="00047A0B">
        <w:rPr>
          <w:rFonts w:asciiTheme="majorBidi" w:hAnsiTheme="majorBidi" w:cstheme="majorBidi"/>
          <w:b/>
          <w:bCs/>
          <w:sz w:val="24"/>
        </w:rPr>
        <w:t xml:space="preserve">Keywords: </w:t>
      </w:r>
      <w:r w:rsidRPr="00047A0B">
        <w:rPr>
          <w:sz w:val="24"/>
        </w:rPr>
        <w:t xml:space="preserve">Biomechanics, Healing, Histopathology, Rat, Tendon </w:t>
      </w:r>
    </w:p>
    <w:p w:rsidR="00416496" w:rsidRPr="00047A0B" w:rsidRDefault="00416496" w:rsidP="00416496">
      <w:pPr>
        <w:spacing w:before="100" w:beforeAutospacing="1" w:after="100" w:afterAutospacing="1" w:line="360" w:lineRule="auto"/>
        <w:jc w:val="both"/>
        <w:outlineLvl w:val="1"/>
        <w:rPr>
          <w:rFonts w:asciiTheme="majorBidi" w:hAnsiTheme="majorBidi" w:cstheme="majorBidi"/>
          <w:b/>
          <w:bCs/>
          <w:sz w:val="24"/>
        </w:rPr>
      </w:pPr>
      <w:r w:rsidRPr="00047A0B">
        <w:rPr>
          <w:rFonts w:asciiTheme="majorBidi" w:hAnsiTheme="majorBidi" w:cstheme="majorBidi"/>
          <w:b/>
          <w:bCs/>
          <w:sz w:val="24"/>
        </w:rPr>
        <w:t>Introduction</w:t>
      </w:r>
    </w:p>
    <w:p w:rsidR="00416496" w:rsidRPr="00A127AE" w:rsidRDefault="00416496" w:rsidP="00241C8B">
      <w:pPr>
        <w:spacing w:before="100" w:beforeAutospacing="1" w:after="100" w:afterAutospacing="1" w:line="360" w:lineRule="auto"/>
        <w:jc w:val="both"/>
        <w:rPr>
          <w:rFonts w:asciiTheme="majorBidi" w:hAnsiTheme="majorBidi" w:cstheme="majorBidi"/>
          <w:sz w:val="24"/>
        </w:rPr>
      </w:pPr>
      <w:r w:rsidRPr="00A127AE">
        <w:rPr>
          <w:rFonts w:asciiTheme="majorBidi" w:hAnsiTheme="majorBidi" w:cstheme="majorBidi"/>
          <w:sz w:val="24"/>
        </w:rPr>
        <w:lastRenderedPageBreak/>
        <w:t>Tendon injuries are associated with considerable morbidity in sport and the workplace in humans and animals. Noticeable pain and compromised locomotor dysfunction are often known as complications of tendon injury. Among the several approaches, surgical repair is the most common intervention for tendon rupture or laceration. However, adhesion to surrounding connective tissues and inferior mechanical properties of the repairs have been reported frequently after reconstructive tendon surgery adversely affecting the clinical outcome</w:t>
      </w:r>
      <w:r>
        <w:rPr>
          <w:rFonts w:asciiTheme="majorBidi" w:hAnsiTheme="majorBidi" w:cstheme="majorBidi"/>
          <w:sz w:val="24"/>
        </w:rPr>
        <w:t xml:space="preserve"> (1)</w:t>
      </w:r>
      <w:r w:rsidRPr="00A127AE">
        <w:rPr>
          <w:rFonts w:asciiTheme="majorBidi" w:hAnsiTheme="majorBidi" w:cstheme="majorBidi"/>
          <w:sz w:val="24"/>
        </w:rPr>
        <w:t>. Currently, the clinical therapeutic protocol following surgical repair includes non-steroidal anti-inflammatory drugs (NSAIDs) therapy, mostly for analgesic effects and secondarily for anti-inflammation properties. It is believed that reduced edema and consequently decreased production of inflammatory mediators improve wound healing</w:t>
      </w:r>
      <w:r>
        <w:rPr>
          <w:rFonts w:asciiTheme="majorBidi" w:hAnsiTheme="majorBidi" w:cstheme="majorBidi"/>
          <w:sz w:val="24"/>
        </w:rPr>
        <w:t xml:space="preserve"> (2)</w:t>
      </w:r>
      <w:r w:rsidRPr="00A127AE">
        <w:rPr>
          <w:rFonts w:asciiTheme="majorBidi" w:hAnsiTheme="majorBidi" w:cstheme="majorBidi"/>
          <w:sz w:val="24"/>
        </w:rPr>
        <w:t>. Administration of commercially available anti-inflammatory and analgesic agents could result in a relatively improved tendon healing</w:t>
      </w:r>
      <w:r>
        <w:rPr>
          <w:rFonts w:asciiTheme="majorBidi" w:hAnsiTheme="majorBidi" w:cstheme="majorBidi"/>
          <w:sz w:val="24"/>
        </w:rPr>
        <w:t xml:space="preserve"> (3)</w:t>
      </w:r>
      <w:r w:rsidRPr="00A127AE">
        <w:rPr>
          <w:rFonts w:asciiTheme="majorBidi" w:hAnsiTheme="majorBidi" w:cstheme="majorBidi"/>
          <w:sz w:val="24"/>
        </w:rPr>
        <w:t>. Although significant pain relief and reduced inflammation have been reported after NSAIDs, recent studies have suggested that these agents may hinder the favorable healing response of injured soft tissues like tendons. Degenerative effects on the healing tendon per se have been observed following NSAIDs therapy</w:t>
      </w:r>
      <w:r>
        <w:rPr>
          <w:rFonts w:asciiTheme="majorBidi" w:hAnsiTheme="majorBidi" w:cstheme="majorBidi"/>
          <w:sz w:val="24"/>
        </w:rPr>
        <w:t xml:space="preserve"> (4)</w:t>
      </w:r>
      <w:r w:rsidRPr="00A127AE">
        <w:rPr>
          <w:rFonts w:asciiTheme="majorBidi" w:hAnsiTheme="majorBidi" w:cstheme="majorBidi"/>
          <w:sz w:val="24"/>
        </w:rPr>
        <w:t>, but several studies have questioned their value due to the serious adverse effects such as hepatotoxicity, nephrotoxicity, coagulopathy, cardio-myopathy, and gastrointestinal mucosal damage</w:t>
      </w:r>
      <w:r>
        <w:rPr>
          <w:rFonts w:asciiTheme="majorBidi" w:hAnsiTheme="majorBidi" w:cstheme="majorBidi"/>
          <w:sz w:val="24"/>
        </w:rPr>
        <w:t xml:space="preserve"> (5).</w:t>
      </w:r>
      <w:r w:rsidRPr="00A127AE">
        <w:rPr>
          <w:rFonts w:asciiTheme="majorBidi" w:hAnsiTheme="majorBidi" w:cstheme="majorBidi"/>
          <w:sz w:val="24"/>
        </w:rPr>
        <w:t xml:space="preserve"> Alternatively, because of the potential efficacy and reduced risk of side effects, natural medicines have become increasingly noted in recent studies. Silymarin, an extract from </w:t>
      </w:r>
      <w:proofErr w:type="spellStart"/>
      <w:r w:rsidRPr="00A127AE">
        <w:rPr>
          <w:rFonts w:asciiTheme="majorBidi" w:hAnsiTheme="majorBidi" w:cstheme="majorBidi"/>
          <w:i/>
          <w:iCs/>
          <w:sz w:val="24"/>
        </w:rPr>
        <w:t>Silybum</w:t>
      </w:r>
      <w:proofErr w:type="spellEnd"/>
      <w:r w:rsidRPr="00A127AE">
        <w:rPr>
          <w:rFonts w:asciiTheme="majorBidi" w:hAnsiTheme="majorBidi" w:cstheme="majorBidi"/>
          <w:i/>
          <w:iCs/>
          <w:sz w:val="24"/>
        </w:rPr>
        <w:t xml:space="preserve"> </w:t>
      </w:r>
      <w:proofErr w:type="spellStart"/>
      <w:r w:rsidRPr="00A127AE">
        <w:rPr>
          <w:rFonts w:asciiTheme="majorBidi" w:hAnsiTheme="majorBidi" w:cstheme="majorBidi"/>
          <w:i/>
          <w:iCs/>
          <w:sz w:val="24"/>
        </w:rPr>
        <w:t>marianum</w:t>
      </w:r>
      <w:proofErr w:type="spellEnd"/>
      <w:r w:rsidRPr="00A127AE">
        <w:rPr>
          <w:rFonts w:asciiTheme="majorBidi" w:hAnsiTheme="majorBidi" w:cstheme="majorBidi"/>
          <w:sz w:val="24"/>
        </w:rPr>
        <w:t>, has demonstrated analgesic, anti-oxidant and anti-inflammatory effects and has been clinically studied and proven to be an effective natural treatment for improving wound repair. Topical silymarin could improve dermal wound healing through elevated fibroblast proliferation, collagen organization, and finally improved wound contraction in rats</w:t>
      </w:r>
      <w:r>
        <w:rPr>
          <w:rFonts w:asciiTheme="majorBidi" w:hAnsiTheme="majorBidi" w:cstheme="majorBidi"/>
          <w:sz w:val="24"/>
        </w:rPr>
        <w:t xml:space="preserve"> (6)</w:t>
      </w:r>
      <w:r w:rsidRPr="00A127AE">
        <w:rPr>
          <w:rFonts w:asciiTheme="majorBidi" w:hAnsiTheme="majorBidi" w:cstheme="majorBidi"/>
          <w:sz w:val="24"/>
        </w:rPr>
        <w:t>. In the present study, the effects of orally administered silymarin on the healing of Achilles tendon in rats were investigated using histopathological, biomechanical, and functional evaluations.</w:t>
      </w:r>
    </w:p>
    <w:p w:rsidR="00416496" w:rsidRPr="00047A0B" w:rsidRDefault="00416496" w:rsidP="00416496">
      <w:pPr>
        <w:spacing w:before="100" w:beforeAutospacing="1" w:after="100" w:afterAutospacing="1" w:line="360" w:lineRule="auto"/>
        <w:jc w:val="both"/>
        <w:outlineLvl w:val="1"/>
        <w:rPr>
          <w:rFonts w:asciiTheme="majorBidi" w:hAnsiTheme="majorBidi" w:cstheme="majorBidi"/>
          <w:b/>
          <w:bCs/>
          <w:sz w:val="24"/>
        </w:rPr>
      </w:pPr>
      <w:r w:rsidRPr="00047A0B">
        <w:rPr>
          <w:rFonts w:asciiTheme="majorBidi" w:hAnsiTheme="majorBidi" w:cstheme="majorBidi"/>
          <w:b/>
          <w:bCs/>
          <w:sz w:val="24"/>
        </w:rPr>
        <w:t>Materials and Methods</w:t>
      </w:r>
    </w:p>
    <w:p w:rsidR="00416496" w:rsidRPr="00A127AE" w:rsidRDefault="00416496" w:rsidP="00416496">
      <w:pPr>
        <w:spacing w:before="100" w:beforeAutospacing="1" w:after="100" w:afterAutospacing="1" w:line="360" w:lineRule="auto"/>
        <w:jc w:val="both"/>
        <w:rPr>
          <w:rFonts w:asciiTheme="majorBidi" w:hAnsiTheme="majorBidi" w:cstheme="majorBidi"/>
          <w:sz w:val="24"/>
        </w:rPr>
      </w:pPr>
      <w:r w:rsidRPr="00A127AE">
        <w:rPr>
          <w:rFonts w:asciiTheme="majorBidi" w:hAnsiTheme="majorBidi" w:cstheme="majorBidi"/>
          <w:b/>
          <w:bCs/>
          <w:sz w:val="24"/>
        </w:rPr>
        <w:t>Animals.</w:t>
      </w:r>
      <w:r w:rsidRPr="00A127AE">
        <w:rPr>
          <w:rFonts w:asciiTheme="majorBidi" w:hAnsiTheme="majorBidi" w:cstheme="majorBidi"/>
          <w:sz w:val="24"/>
        </w:rPr>
        <w:t xml:space="preserve"> Twenty-four adult male Wistar rats (200 ± 20 g) were housed individually in plastic cages on wood chip-type bedding, fed with chow pellet, and had free access to water. Randomly, the rats were divided into two groups of treatment and control (n = 12). The animal experiments were performed in accordance with the authors’ Institutional Animal Care Instructions (93/1445).</w:t>
      </w:r>
    </w:p>
    <w:p w:rsidR="00241C8B" w:rsidRDefault="00416496" w:rsidP="00241C8B">
      <w:pPr>
        <w:spacing w:before="100" w:beforeAutospacing="1" w:after="100" w:afterAutospacing="1" w:line="360" w:lineRule="auto"/>
        <w:jc w:val="both"/>
        <w:rPr>
          <w:rFonts w:asciiTheme="majorBidi" w:hAnsiTheme="majorBidi" w:cstheme="majorBidi"/>
          <w:sz w:val="24"/>
        </w:rPr>
      </w:pPr>
      <w:r w:rsidRPr="00A127AE">
        <w:rPr>
          <w:rFonts w:asciiTheme="majorBidi" w:hAnsiTheme="majorBidi" w:cstheme="majorBidi"/>
          <w:b/>
          <w:bCs/>
          <w:sz w:val="24"/>
        </w:rPr>
        <w:lastRenderedPageBreak/>
        <w:t xml:space="preserve">Surgery. </w:t>
      </w:r>
      <w:r w:rsidRPr="00A127AE">
        <w:rPr>
          <w:rFonts w:asciiTheme="majorBidi" w:hAnsiTheme="majorBidi" w:cstheme="majorBidi"/>
          <w:sz w:val="24"/>
        </w:rPr>
        <w:t>The rats were anesthetized by an intraperitoneal injection of ketamine (80.00 mg kg</w:t>
      </w:r>
      <w:r w:rsidRPr="00A127AE">
        <w:rPr>
          <w:rFonts w:asciiTheme="majorBidi" w:hAnsiTheme="majorBidi" w:cstheme="majorBidi"/>
          <w:sz w:val="24"/>
          <w:vertAlign w:val="superscript"/>
        </w:rPr>
        <w:t>-1</w:t>
      </w:r>
      <w:r w:rsidRPr="00A127AE">
        <w:rPr>
          <w:rFonts w:asciiTheme="majorBidi" w:hAnsiTheme="majorBidi" w:cstheme="majorBidi"/>
          <w:sz w:val="24"/>
        </w:rPr>
        <w:t xml:space="preserve">; </w:t>
      </w:r>
      <w:proofErr w:type="spellStart"/>
      <w:r w:rsidRPr="00A127AE">
        <w:rPr>
          <w:rFonts w:asciiTheme="majorBidi" w:hAnsiTheme="majorBidi" w:cstheme="majorBidi"/>
          <w:sz w:val="24"/>
        </w:rPr>
        <w:t>Alfasan</w:t>
      </w:r>
      <w:proofErr w:type="spellEnd"/>
      <w:r w:rsidRPr="00A127AE">
        <w:rPr>
          <w:rFonts w:asciiTheme="majorBidi" w:hAnsiTheme="majorBidi" w:cstheme="majorBidi"/>
          <w:sz w:val="24"/>
        </w:rPr>
        <w:t xml:space="preserve">, </w:t>
      </w:r>
      <w:proofErr w:type="spellStart"/>
      <w:r w:rsidRPr="00A127AE">
        <w:rPr>
          <w:rFonts w:asciiTheme="majorBidi" w:hAnsiTheme="majorBidi" w:cstheme="majorBidi"/>
          <w:sz w:val="24"/>
        </w:rPr>
        <w:t>Woerden</w:t>
      </w:r>
      <w:proofErr w:type="spellEnd"/>
      <w:r w:rsidRPr="00A127AE">
        <w:rPr>
          <w:rFonts w:asciiTheme="majorBidi" w:hAnsiTheme="majorBidi" w:cstheme="majorBidi"/>
          <w:sz w:val="24"/>
        </w:rPr>
        <w:t>, The Netherlands) and xylazine (5.00 mg kg</w:t>
      </w:r>
      <w:r w:rsidRPr="00A127AE">
        <w:rPr>
          <w:rFonts w:asciiTheme="majorBidi" w:hAnsiTheme="majorBidi" w:cstheme="majorBidi"/>
          <w:sz w:val="24"/>
          <w:vertAlign w:val="superscript"/>
        </w:rPr>
        <w:t>-1</w:t>
      </w:r>
      <w:r w:rsidRPr="00A127AE">
        <w:rPr>
          <w:rFonts w:asciiTheme="majorBidi" w:hAnsiTheme="majorBidi" w:cstheme="majorBidi"/>
          <w:sz w:val="24"/>
        </w:rPr>
        <w:t xml:space="preserve">; </w:t>
      </w:r>
      <w:proofErr w:type="spellStart"/>
      <w:r w:rsidRPr="00A127AE">
        <w:rPr>
          <w:rFonts w:asciiTheme="majorBidi" w:hAnsiTheme="majorBidi" w:cstheme="majorBidi"/>
          <w:sz w:val="24"/>
        </w:rPr>
        <w:t>Alfasan</w:t>
      </w:r>
      <w:proofErr w:type="spellEnd"/>
      <w:r w:rsidRPr="00A127AE">
        <w:rPr>
          <w:rFonts w:asciiTheme="majorBidi" w:hAnsiTheme="majorBidi" w:cstheme="majorBidi"/>
          <w:sz w:val="24"/>
        </w:rPr>
        <w:t>) combination. Following aseptic preparations of the left hind limb, the Achilles tendon was exposed through a longitudinal posterior skin incision. Then, the tendon was completely transected using a 10 blade and sutured with a modified Kessler pattern by 4-0 nylon. The skin incision was sutured in a simple interrupted pattern by 3-0 nylon. Following recovery, the rats were returned to their cages and roam freely until the end of the study. In the treatment group, 50.00 mg kg</w:t>
      </w:r>
      <w:r w:rsidRPr="00A127AE">
        <w:rPr>
          <w:rFonts w:asciiTheme="majorBidi" w:hAnsiTheme="majorBidi" w:cstheme="majorBidi"/>
          <w:sz w:val="24"/>
          <w:vertAlign w:val="superscript"/>
        </w:rPr>
        <w:t>-1</w:t>
      </w:r>
      <w:r w:rsidRPr="00A127AE">
        <w:rPr>
          <w:rFonts w:asciiTheme="majorBidi" w:hAnsiTheme="majorBidi" w:cstheme="majorBidi"/>
          <w:sz w:val="24"/>
        </w:rPr>
        <w:t xml:space="preserve"> silymarin (Sigma-Aldrich Co., St. Louis, USA) suspended in 1 mL normal saline was orally administered using a gavage needle for five days after surgery. Control rats received only normal saline for a comparable period. </w:t>
      </w:r>
    </w:p>
    <w:p w:rsidR="00241C8B" w:rsidRDefault="00416496" w:rsidP="00241C8B">
      <w:pPr>
        <w:spacing w:before="100" w:beforeAutospacing="1" w:after="100" w:afterAutospacing="1" w:line="360" w:lineRule="auto"/>
        <w:jc w:val="both"/>
        <w:rPr>
          <w:rFonts w:asciiTheme="majorBidi" w:hAnsiTheme="majorBidi" w:cstheme="majorBidi"/>
          <w:sz w:val="24"/>
        </w:rPr>
      </w:pPr>
      <w:r w:rsidRPr="00A127AE">
        <w:rPr>
          <w:rFonts w:asciiTheme="majorBidi" w:hAnsiTheme="majorBidi" w:cstheme="majorBidi"/>
          <w:b/>
          <w:bCs/>
          <w:sz w:val="24"/>
        </w:rPr>
        <w:t xml:space="preserve">Histopathological evaluation. </w:t>
      </w:r>
      <w:r w:rsidRPr="00A127AE">
        <w:rPr>
          <w:rFonts w:asciiTheme="majorBidi" w:hAnsiTheme="majorBidi" w:cstheme="majorBidi"/>
          <w:sz w:val="24"/>
        </w:rPr>
        <w:t xml:space="preserve">Longitudinal 5.00 </w:t>
      </w:r>
      <w:proofErr w:type="spellStart"/>
      <w:r w:rsidRPr="00A127AE">
        <w:rPr>
          <w:rFonts w:asciiTheme="majorBidi" w:hAnsiTheme="majorBidi" w:cstheme="majorBidi"/>
          <w:sz w:val="24"/>
        </w:rPr>
        <w:t>μm</w:t>
      </w:r>
      <w:proofErr w:type="spellEnd"/>
      <w:r w:rsidRPr="00A127AE">
        <w:rPr>
          <w:rFonts w:asciiTheme="majorBidi" w:hAnsiTheme="majorBidi" w:cstheme="majorBidi"/>
          <w:sz w:val="24"/>
        </w:rPr>
        <w:t xml:space="preserve"> thick sections of tendons (n = 6) from both groups were stained with Hematoxylin and Eosin</w:t>
      </w:r>
      <w:r>
        <w:rPr>
          <w:rFonts w:asciiTheme="majorBidi" w:hAnsiTheme="majorBidi" w:cstheme="majorBidi"/>
          <w:sz w:val="24"/>
        </w:rPr>
        <w:t>,</w:t>
      </w:r>
      <w:r w:rsidRPr="00A127AE">
        <w:rPr>
          <w:rFonts w:asciiTheme="majorBidi" w:hAnsiTheme="majorBidi" w:cstheme="majorBidi"/>
          <w:sz w:val="24"/>
        </w:rPr>
        <w:t xml:space="preserve"> and evaluated quantitatively for the following parameters: Number of inflammatory cells (including neutrophils and macrophages), fibroblasts (ovoid-shaped </w:t>
      </w:r>
      <w:proofErr w:type="spellStart"/>
      <w:r w:rsidRPr="00A127AE">
        <w:rPr>
          <w:rFonts w:asciiTheme="majorBidi" w:hAnsiTheme="majorBidi" w:cstheme="majorBidi"/>
          <w:sz w:val="24"/>
        </w:rPr>
        <w:t>tenoblasts</w:t>
      </w:r>
      <w:proofErr w:type="spellEnd"/>
      <w:r w:rsidRPr="00A127AE">
        <w:rPr>
          <w:rFonts w:asciiTheme="majorBidi" w:hAnsiTheme="majorBidi" w:cstheme="majorBidi"/>
          <w:sz w:val="24"/>
        </w:rPr>
        <w:t>), and newly formed vessels (</w:t>
      </w:r>
      <w:proofErr w:type="spellStart"/>
      <w:r w:rsidRPr="00A127AE">
        <w:rPr>
          <w:rFonts w:asciiTheme="majorBidi" w:hAnsiTheme="majorBidi" w:cstheme="majorBidi"/>
          <w:sz w:val="24"/>
        </w:rPr>
        <w:t>neovessels</w:t>
      </w:r>
      <w:proofErr w:type="spellEnd"/>
      <w:r w:rsidRPr="00A127AE">
        <w:rPr>
          <w:rFonts w:asciiTheme="majorBidi" w:hAnsiTheme="majorBidi" w:cstheme="majorBidi"/>
          <w:sz w:val="24"/>
        </w:rPr>
        <w:t>) in 0.25 mm</w:t>
      </w:r>
      <w:r w:rsidRPr="00A127AE">
        <w:rPr>
          <w:rFonts w:asciiTheme="majorBidi" w:hAnsiTheme="majorBidi" w:cstheme="majorBidi"/>
          <w:sz w:val="24"/>
          <w:vertAlign w:val="superscript"/>
        </w:rPr>
        <w:t>2</w:t>
      </w:r>
      <w:r w:rsidRPr="00A127AE">
        <w:rPr>
          <w:rFonts w:asciiTheme="majorBidi" w:hAnsiTheme="majorBidi" w:cstheme="majorBidi"/>
          <w:sz w:val="24"/>
        </w:rPr>
        <w:t xml:space="preserve"> of granulation tissue of each section. Collagen intensity obtained from the average distance between the adjacent collagen bundles with longitudinally oriented fibers was measured in 10 microscopic fields, where a lower value represents a higher density. Image analysis was done with FIJI software (version 2.0.0; National Institutes of Health, USA), and 3D plots were drawn using Image-pro Insight software (version 8.0; Media Cybernetics Inc., Rockville, USA).</w:t>
      </w:r>
    </w:p>
    <w:p w:rsidR="00416496" w:rsidRPr="00A127AE" w:rsidRDefault="00416496" w:rsidP="00241C8B">
      <w:pPr>
        <w:spacing w:before="100" w:beforeAutospacing="1" w:after="100" w:afterAutospacing="1" w:line="360" w:lineRule="auto"/>
        <w:jc w:val="both"/>
        <w:rPr>
          <w:rFonts w:asciiTheme="majorBidi" w:hAnsiTheme="majorBidi" w:cstheme="majorBidi"/>
          <w:sz w:val="24"/>
        </w:rPr>
      </w:pPr>
      <w:r w:rsidRPr="00A127AE">
        <w:rPr>
          <w:rFonts w:asciiTheme="majorBidi" w:hAnsiTheme="majorBidi" w:cstheme="majorBidi"/>
          <w:b/>
          <w:bCs/>
          <w:sz w:val="24"/>
        </w:rPr>
        <w:t xml:space="preserve">Mechanical evaluation. </w:t>
      </w:r>
      <w:r w:rsidRPr="00A127AE">
        <w:rPr>
          <w:rFonts w:asciiTheme="majorBidi" w:hAnsiTheme="majorBidi" w:cstheme="majorBidi"/>
          <w:sz w:val="24"/>
        </w:rPr>
        <w:t>Six samples from each group were subjected to mechanical evaluations. Before testing, suture materials were removed, and tendons were mounted on STM-20 tensile device, including a 50.00 kg load cell. The constant velocity of 60 mm min</w:t>
      </w:r>
      <w:r w:rsidRPr="00A127AE">
        <w:rPr>
          <w:rFonts w:asciiTheme="majorBidi" w:hAnsiTheme="majorBidi" w:cstheme="majorBidi"/>
          <w:sz w:val="24"/>
          <w:vertAlign w:val="superscript"/>
        </w:rPr>
        <w:t>-1</w:t>
      </w:r>
      <w:r w:rsidRPr="00A127AE">
        <w:rPr>
          <w:rFonts w:asciiTheme="majorBidi" w:hAnsiTheme="majorBidi" w:cstheme="majorBidi"/>
          <w:sz w:val="24"/>
        </w:rPr>
        <w:t xml:space="preserve"> was used for the tensile test. During each test, a force-displacement curve was displayed in real-time, and the following parameters were recorded: Maximum load (N), load at yield point (N), energy absorption (J), maximum stress (</w:t>
      </w:r>
      <w:proofErr w:type="spellStart"/>
      <w:r w:rsidRPr="00A127AE">
        <w:rPr>
          <w:rFonts w:asciiTheme="majorBidi" w:hAnsiTheme="majorBidi" w:cstheme="majorBidi"/>
          <w:sz w:val="24"/>
        </w:rPr>
        <w:t>MPa</w:t>
      </w:r>
      <w:proofErr w:type="spellEnd"/>
      <w:r w:rsidRPr="00A127AE">
        <w:rPr>
          <w:rFonts w:asciiTheme="majorBidi" w:hAnsiTheme="majorBidi" w:cstheme="majorBidi"/>
          <w:sz w:val="24"/>
        </w:rPr>
        <w:t>), maximum strain (%) and stiffness (</w:t>
      </w:r>
      <w:proofErr w:type="spellStart"/>
      <w:r w:rsidRPr="00A127AE">
        <w:rPr>
          <w:rFonts w:asciiTheme="majorBidi" w:hAnsiTheme="majorBidi" w:cstheme="majorBidi"/>
          <w:sz w:val="24"/>
        </w:rPr>
        <w:t>MPa</w:t>
      </w:r>
      <w:proofErr w:type="spellEnd"/>
      <w:r w:rsidRPr="00A127AE">
        <w:rPr>
          <w:rFonts w:asciiTheme="majorBidi" w:hAnsiTheme="majorBidi" w:cstheme="majorBidi"/>
          <w:sz w:val="24"/>
        </w:rPr>
        <w:t xml:space="preserve"> mm</w:t>
      </w:r>
      <w:r w:rsidRPr="00A127AE">
        <w:rPr>
          <w:rFonts w:asciiTheme="majorBidi" w:hAnsiTheme="majorBidi" w:cstheme="majorBidi"/>
          <w:sz w:val="24"/>
          <w:vertAlign w:val="superscript"/>
        </w:rPr>
        <w:t>-1</w:t>
      </w:r>
      <w:r w:rsidRPr="00A127AE">
        <w:rPr>
          <w:rFonts w:asciiTheme="majorBidi" w:hAnsiTheme="majorBidi" w:cstheme="majorBidi"/>
          <w:sz w:val="24"/>
        </w:rPr>
        <w:t xml:space="preserve">). </w:t>
      </w:r>
    </w:p>
    <w:p w:rsidR="00416496" w:rsidRPr="00A127AE" w:rsidRDefault="00416496" w:rsidP="00416496">
      <w:pPr>
        <w:spacing w:before="100" w:beforeAutospacing="1" w:after="100" w:afterAutospacing="1" w:line="360" w:lineRule="auto"/>
        <w:jc w:val="both"/>
        <w:rPr>
          <w:rFonts w:asciiTheme="majorBidi" w:hAnsiTheme="majorBidi" w:cstheme="majorBidi"/>
          <w:sz w:val="24"/>
        </w:rPr>
      </w:pPr>
      <w:r w:rsidRPr="00A127AE">
        <w:rPr>
          <w:rFonts w:asciiTheme="majorBidi" w:hAnsiTheme="majorBidi" w:cstheme="majorBidi"/>
          <w:b/>
          <w:bCs/>
          <w:sz w:val="24"/>
        </w:rPr>
        <w:t xml:space="preserve">Statistical analysis. </w:t>
      </w:r>
      <w:r w:rsidRPr="00A127AE">
        <w:rPr>
          <w:rFonts w:asciiTheme="majorBidi" w:hAnsiTheme="majorBidi" w:cstheme="majorBidi"/>
          <w:sz w:val="24"/>
        </w:rPr>
        <w:t xml:space="preserve">Two-way repeated-measures analysis of variance (ANOVA) followed by </w:t>
      </w:r>
      <w:proofErr w:type="spellStart"/>
      <w:r w:rsidRPr="00A127AE">
        <w:rPr>
          <w:rFonts w:asciiTheme="majorBidi" w:hAnsiTheme="majorBidi" w:cstheme="majorBidi"/>
          <w:sz w:val="24"/>
        </w:rPr>
        <w:t>Bonferroni’s</w:t>
      </w:r>
      <w:proofErr w:type="spellEnd"/>
      <w:r w:rsidRPr="00A127AE">
        <w:rPr>
          <w:rFonts w:asciiTheme="majorBidi" w:hAnsiTheme="majorBidi" w:cstheme="majorBidi"/>
          <w:sz w:val="24"/>
        </w:rPr>
        <w:t xml:space="preserve"> post hoc test was used for AFI data. Adhesion scores were analyzed with the Mann-Whitney test. Quantitative histopathological parameters and mechanical properties of repairs were compared using a Student </w:t>
      </w:r>
      <w:r w:rsidRPr="00A127AE">
        <w:rPr>
          <w:rFonts w:asciiTheme="majorBidi" w:hAnsiTheme="majorBidi" w:cstheme="majorBidi"/>
          <w:i/>
          <w:iCs/>
          <w:sz w:val="24"/>
        </w:rPr>
        <w:t>t</w:t>
      </w:r>
      <w:r w:rsidRPr="00A127AE">
        <w:rPr>
          <w:rFonts w:asciiTheme="majorBidi" w:hAnsiTheme="majorBidi" w:cstheme="majorBidi"/>
          <w:sz w:val="24"/>
        </w:rPr>
        <w:t>-test. All analyses were conducted using Statistical Package for Social Sciences (SPSS) software (version 20</w:t>
      </w:r>
      <w:r>
        <w:rPr>
          <w:rFonts w:asciiTheme="majorBidi" w:hAnsiTheme="majorBidi" w:cstheme="majorBidi"/>
          <w:sz w:val="24"/>
        </w:rPr>
        <w:t>.0</w:t>
      </w:r>
      <w:r w:rsidRPr="00A127AE">
        <w:rPr>
          <w:rFonts w:asciiTheme="majorBidi" w:hAnsiTheme="majorBidi" w:cstheme="majorBidi"/>
          <w:sz w:val="24"/>
        </w:rPr>
        <w:t xml:space="preserve">, IBM Corp., Armonk, NY, USA), and </w:t>
      </w:r>
      <w:r w:rsidRPr="00A127AE">
        <w:rPr>
          <w:rFonts w:asciiTheme="majorBidi" w:hAnsiTheme="majorBidi" w:cstheme="majorBidi"/>
          <w:i/>
          <w:iCs/>
          <w:sz w:val="24"/>
        </w:rPr>
        <w:t>p</w:t>
      </w:r>
      <w:r w:rsidRPr="00A127AE">
        <w:rPr>
          <w:rFonts w:asciiTheme="majorBidi" w:hAnsiTheme="majorBidi" w:cstheme="majorBidi"/>
          <w:sz w:val="24"/>
        </w:rPr>
        <w:t xml:space="preserve"> values less than </w:t>
      </w:r>
      <w:r w:rsidRPr="00A127AE">
        <w:rPr>
          <w:rFonts w:asciiTheme="majorBidi" w:hAnsiTheme="majorBidi" w:cstheme="majorBidi"/>
          <w:sz w:val="24"/>
        </w:rPr>
        <w:lastRenderedPageBreak/>
        <w:t>0.05 were considered as significant. All quantitative data are presented as mean ± standard deviation.</w:t>
      </w:r>
    </w:p>
    <w:p w:rsidR="00416496" w:rsidRPr="00047A0B" w:rsidRDefault="00416496" w:rsidP="00416496">
      <w:pPr>
        <w:spacing w:before="100" w:beforeAutospacing="1" w:after="100" w:afterAutospacing="1" w:line="360" w:lineRule="auto"/>
        <w:jc w:val="both"/>
        <w:outlineLvl w:val="1"/>
        <w:rPr>
          <w:rFonts w:asciiTheme="majorBidi" w:hAnsiTheme="majorBidi" w:cstheme="majorBidi"/>
          <w:b/>
          <w:bCs/>
          <w:sz w:val="24"/>
        </w:rPr>
      </w:pPr>
      <w:r w:rsidRPr="00047A0B">
        <w:rPr>
          <w:rFonts w:asciiTheme="majorBidi" w:hAnsiTheme="majorBidi" w:cstheme="majorBidi"/>
          <w:b/>
          <w:bCs/>
          <w:sz w:val="24"/>
        </w:rPr>
        <w:t>Results</w:t>
      </w:r>
    </w:p>
    <w:p w:rsidR="00416496" w:rsidRDefault="00416496" w:rsidP="00416496">
      <w:pPr>
        <w:spacing w:line="360" w:lineRule="auto"/>
        <w:jc w:val="both"/>
        <w:rPr>
          <w:rFonts w:asciiTheme="majorBidi" w:hAnsiTheme="majorBidi" w:cstheme="majorBidi"/>
        </w:rPr>
      </w:pPr>
      <w:r w:rsidRPr="00A127AE">
        <w:rPr>
          <w:rStyle w:val="Strong"/>
          <w:rFonts w:asciiTheme="majorBidi" w:hAnsiTheme="majorBidi" w:cstheme="majorBidi"/>
        </w:rPr>
        <w:t xml:space="preserve">Histopathology. </w:t>
      </w:r>
      <w:r w:rsidRPr="00A127AE">
        <w:rPr>
          <w:rFonts w:asciiTheme="majorBidi" w:hAnsiTheme="majorBidi" w:cstheme="majorBidi"/>
        </w:rPr>
        <w:t xml:space="preserve">Figures </w:t>
      </w:r>
      <w:r>
        <w:rPr>
          <w:rFonts w:asciiTheme="majorBidi" w:hAnsiTheme="majorBidi" w:cstheme="majorBidi"/>
        </w:rPr>
        <w:t>1</w:t>
      </w:r>
      <w:r w:rsidRPr="00A127AE">
        <w:rPr>
          <w:rFonts w:asciiTheme="majorBidi" w:hAnsiTheme="majorBidi" w:cstheme="majorBidi"/>
        </w:rPr>
        <w:t xml:space="preserve"> demonstrates the results of histopathological evaluations after six weeks. Accordingly, a reduced number of fibroblasts was observed in the silymarin treated group compared to control samples; however, no significant difference was found (</w:t>
      </w:r>
      <w:r w:rsidRPr="00A127AE">
        <w:rPr>
          <w:rStyle w:val="Emphasis"/>
          <w:rFonts w:asciiTheme="majorBidi" w:hAnsiTheme="majorBidi" w:cstheme="majorBidi"/>
        </w:rPr>
        <w:t xml:space="preserve">p </w:t>
      </w:r>
      <w:r w:rsidRPr="00A127AE">
        <w:rPr>
          <w:rFonts w:asciiTheme="majorBidi" w:hAnsiTheme="majorBidi" w:cstheme="majorBidi"/>
        </w:rPr>
        <w:t>&gt; 0.05). However, a significant decrease in the number of inflammatory cells was seen in samples with silymarin treatment compared to controls (</w:t>
      </w:r>
      <w:r w:rsidRPr="00A127AE">
        <w:rPr>
          <w:rStyle w:val="Emphasis"/>
          <w:rFonts w:asciiTheme="majorBidi" w:hAnsiTheme="majorBidi" w:cstheme="majorBidi"/>
        </w:rPr>
        <w:t>p</w:t>
      </w:r>
      <w:r w:rsidRPr="00A127AE">
        <w:rPr>
          <w:rFonts w:asciiTheme="majorBidi" w:hAnsiTheme="majorBidi" w:cstheme="majorBidi"/>
        </w:rPr>
        <w:t xml:space="preserve"> &lt; 0.05). The number of </w:t>
      </w:r>
      <w:proofErr w:type="spellStart"/>
      <w:r w:rsidRPr="00A127AE">
        <w:rPr>
          <w:rFonts w:asciiTheme="majorBidi" w:hAnsiTheme="majorBidi" w:cstheme="majorBidi"/>
        </w:rPr>
        <w:t>neovessels</w:t>
      </w:r>
      <w:proofErr w:type="spellEnd"/>
      <w:r w:rsidRPr="00A127AE">
        <w:rPr>
          <w:rFonts w:asciiTheme="majorBidi" w:hAnsiTheme="majorBidi" w:cstheme="majorBidi"/>
        </w:rPr>
        <w:t xml:space="preserve"> was also significantly lower in the treatment group (</w:t>
      </w:r>
      <w:r w:rsidRPr="00A127AE">
        <w:rPr>
          <w:rStyle w:val="Emphasis"/>
          <w:rFonts w:asciiTheme="majorBidi" w:hAnsiTheme="majorBidi" w:cstheme="majorBidi"/>
        </w:rPr>
        <w:t>p</w:t>
      </w:r>
      <w:r w:rsidRPr="00A127AE">
        <w:rPr>
          <w:rFonts w:asciiTheme="majorBidi" w:hAnsiTheme="majorBidi" w:cstheme="majorBidi"/>
        </w:rPr>
        <w:t xml:space="preserve"> &lt; 0.05) than control one.</w:t>
      </w:r>
      <w:r>
        <w:rPr>
          <w:rFonts w:asciiTheme="majorBidi" w:hAnsiTheme="majorBidi" w:cstheme="majorBidi"/>
        </w:rPr>
        <w:t xml:space="preserve"> </w:t>
      </w:r>
      <w:r w:rsidRPr="00A127AE">
        <w:rPr>
          <w:rFonts w:asciiTheme="majorBidi" w:hAnsiTheme="majorBidi" w:cstheme="majorBidi"/>
        </w:rPr>
        <w:t xml:space="preserve">Measuring the distances between collagen bundles indicated that silymarin administration resulted in the formation of more dense and well-organized granulation tissue in the repair site. In contrast, in the control group, collagen bundles were sparsely distributed, showing the low organization of granulation tissue. Based on the intensity plot profile, the </w:t>
      </w:r>
      <w:proofErr w:type="spellStart"/>
      <w:r w:rsidRPr="00A127AE">
        <w:rPr>
          <w:rFonts w:asciiTheme="majorBidi" w:hAnsiTheme="majorBidi" w:cstheme="majorBidi"/>
        </w:rPr>
        <w:t>neotendons</w:t>
      </w:r>
      <w:proofErr w:type="spellEnd"/>
      <w:r w:rsidRPr="00A127AE">
        <w:rPr>
          <w:rFonts w:asciiTheme="majorBidi" w:hAnsiTheme="majorBidi" w:cstheme="majorBidi"/>
        </w:rPr>
        <w:t xml:space="preserve"> in the control group represented loose and irregular collagen expansion and alignment, while in the treatment group, intense collagen alignment was seen, and the collagen fibers were oriented tangentially in 2530×2530 µm of tissue. The mean distances were 126.67 ± 4.80 µm and 155.33 ± 6.53 µm in treatment and control groups, respectively (</w:t>
      </w:r>
      <w:r w:rsidRPr="00A127AE">
        <w:rPr>
          <w:rStyle w:val="Emphasis"/>
          <w:rFonts w:asciiTheme="majorBidi" w:hAnsiTheme="majorBidi" w:cstheme="majorBidi"/>
        </w:rPr>
        <w:t>p</w:t>
      </w:r>
      <w:r w:rsidRPr="00A127AE">
        <w:rPr>
          <w:rFonts w:asciiTheme="majorBidi" w:hAnsiTheme="majorBidi" w:cstheme="majorBidi"/>
        </w:rPr>
        <w:t xml:space="preserve"> &lt; 0.05). </w:t>
      </w:r>
    </w:p>
    <w:p w:rsidR="00416496" w:rsidRDefault="00416496" w:rsidP="00416496">
      <w:pPr>
        <w:spacing w:line="360" w:lineRule="auto"/>
        <w:jc w:val="both"/>
        <w:rPr>
          <w:rFonts w:asciiTheme="majorBidi" w:hAnsiTheme="majorBidi" w:cstheme="majorBidi"/>
        </w:rPr>
      </w:pPr>
    </w:p>
    <w:p w:rsidR="00416496" w:rsidRPr="00A127AE" w:rsidRDefault="00416496" w:rsidP="00416496">
      <w:pPr>
        <w:spacing w:line="360" w:lineRule="auto"/>
        <w:jc w:val="both"/>
        <w:rPr>
          <w:rFonts w:asciiTheme="majorBidi" w:hAnsiTheme="majorBidi" w:cstheme="majorBidi"/>
        </w:rPr>
      </w:pPr>
      <w:r>
        <w:rPr>
          <w:rFonts w:asciiTheme="majorBidi" w:hAnsiTheme="majorBidi" w:cstheme="majorBidi"/>
          <w:noProof/>
        </w:rPr>
        <w:drawing>
          <wp:inline distT="0" distB="0" distL="0" distR="0" wp14:anchorId="78AADEED" wp14:editId="4E3722E2">
            <wp:extent cx="3798916" cy="127184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4">
                      <a:extLst>
                        <a:ext uri="{28A0092B-C50C-407E-A947-70E740481C1C}">
                          <a14:useLocalDpi xmlns:a14="http://schemas.microsoft.com/office/drawing/2010/main" val="0"/>
                        </a:ext>
                      </a:extLst>
                    </a:blip>
                    <a:stretch>
                      <a:fillRect/>
                    </a:stretch>
                  </pic:blipFill>
                  <pic:spPr>
                    <a:xfrm>
                      <a:off x="0" y="0"/>
                      <a:ext cx="3798916" cy="1271847"/>
                    </a:xfrm>
                    <a:prstGeom prst="rect">
                      <a:avLst/>
                    </a:prstGeom>
                  </pic:spPr>
                </pic:pic>
              </a:graphicData>
            </a:graphic>
          </wp:inline>
        </w:drawing>
      </w:r>
    </w:p>
    <w:p w:rsidR="00416496" w:rsidRPr="00A127AE" w:rsidRDefault="00416496" w:rsidP="00241C8B">
      <w:pPr>
        <w:spacing w:line="360" w:lineRule="auto"/>
        <w:jc w:val="both"/>
        <w:rPr>
          <w:sz w:val="24"/>
        </w:rPr>
      </w:pPr>
      <w:r w:rsidRPr="00271DE5">
        <w:rPr>
          <w:b/>
          <w:bCs/>
          <w:sz w:val="24"/>
        </w:rPr>
        <w:t>Fig. 1.</w:t>
      </w:r>
      <w:r>
        <w:rPr>
          <w:sz w:val="24"/>
        </w:rPr>
        <w:t xml:space="preserve"> </w:t>
      </w:r>
      <w:r w:rsidRPr="00A127AE">
        <w:rPr>
          <w:b/>
          <w:bCs/>
          <w:sz w:val="24"/>
        </w:rPr>
        <w:t>A)</w:t>
      </w:r>
      <w:r w:rsidRPr="00A127AE">
        <w:rPr>
          <w:sz w:val="24"/>
        </w:rPr>
        <w:t xml:space="preserve"> Granulation tissue in the control group, including randomly scattered fibroblasts. Arrows indicate newly formed vessels, while in the treatment group; </w:t>
      </w:r>
      <w:r w:rsidRPr="00A127AE">
        <w:rPr>
          <w:b/>
          <w:bCs/>
          <w:sz w:val="24"/>
        </w:rPr>
        <w:t>B)</w:t>
      </w:r>
      <w:r w:rsidRPr="00A127AE">
        <w:rPr>
          <w:sz w:val="24"/>
        </w:rPr>
        <w:t xml:space="preserve"> </w:t>
      </w:r>
      <w:proofErr w:type="gramStart"/>
      <w:r w:rsidRPr="00A127AE">
        <w:rPr>
          <w:sz w:val="24"/>
        </w:rPr>
        <w:t>Fewer</w:t>
      </w:r>
      <w:proofErr w:type="gramEnd"/>
      <w:r w:rsidRPr="00A127AE">
        <w:rPr>
          <w:sz w:val="24"/>
        </w:rPr>
        <w:t xml:space="preserve"> levels of angiogenesis (arrows) were observed among fibroblasts with elongated and parallel nuclei, which were in line with collagen fibers in the </w:t>
      </w:r>
      <w:r w:rsidRPr="00241C8B">
        <w:rPr>
          <w:rFonts w:asciiTheme="majorBidi" w:hAnsiTheme="majorBidi" w:cstheme="majorBidi"/>
        </w:rPr>
        <w:t>treatment</w:t>
      </w:r>
      <w:r w:rsidRPr="00A127AE">
        <w:rPr>
          <w:sz w:val="24"/>
        </w:rPr>
        <w:t xml:space="preserve"> group. The parallel orientations of the cells indicate improved remodeling of collagen fibers</w:t>
      </w:r>
      <w:r>
        <w:rPr>
          <w:sz w:val="24"/>
        </w:rPr>
        <w:t>.</w:t>
      </w:r>
    </w:p>
    <w:p w:rsidR="00416496" w:rsidRDefault="00416496" w:rsidP="00416496">
      <w:pPr>
        <w:spacing w:line="360" w:lineRule="auto"/>
        <w:jc w:val="both"/>
        <w:rPr>
          <w:rStyle w:val="Strong"/>
          <w:rFonts w:asciiTheme="majorBidi" w:hAnsiTheme="majorBidi" w:cstheme="majorBidi"/>
        </w:rPr>
      </w:pPr>
    </w:p>
    <w:p w:rsidR="00416496" w:rsidRDefault="00416496" w:rsidP="00416496">
      <w:pPr>
        <w:spacing w:line="360" w:lineRule="auto"/>
        <w:jc w:val="both"/>
        <w:rPr>
          <w:rStyle w:val="Strong"/>
          <w:rFonts w:asciiTheme="majorBidi" w:hAnsiTheme="majorBidi" w:cstheme="majorBidi"/>
        </w:rPr>
      </w:pPr>
    </w:p>
    <w:p w:rsidR="00416496" w:rsidRDefault="00416496" w:rsidP="00416496">
      <w:pPr>
        <w:spacing w:line="360" w:lineRule="auto"/>
        <w:jc w:val="both"/>
        <w:rPr>
          <w:rStyle w:val="Strong"/>
          <w:rFonts w:asciiTheme="majorBidi" w:hAnsiTheme="majorBidi" w:cstheme="majorBidi"/>
        </w:rPr>
      </w:pPr>
    </w:p>
    <w:p w:rsidR="00416496" w:rsidRDefault="00416496" w:rsidP="00416496">
      <w:pPr>
        <w:spacing w:line="360" w:lineRule="auto"/>
        <w:jc w:val="both"/>
        <w:rPr>
          <w:rFonts w:asciiTheme="majorBidi" w:hAnsiTheme="majorBidi" w:cstheme="majorBidi"/>
        </w:rPr>
      </w:pPr>
      <w:r w:rsidRPr="00A127AE">
        <w:rPr>
          <w:rStyle w:val="Strong"/>
          <w:rFonts w:asciiTheme="majorBidi" w:hAnsiTheme="majorBidi" w:cstheme="majorBidi"/>
        </w:rPr>
        <w:t>Mechanical evaluation.</w:t>
      </w:r>
      <w:r w:rsidRPr="00A127AE">
        <w:rPr>
          <w:rFonts w:asciiTheme="majorBidi" w:hAnsiTheme="majorBidi" w:cstheme="majorBidi"/>
        </w:rPr>
        <w:t xml:space="preserve"> The tensile test showed increased mechanical properties of repairs in terms of ultimate load, yield load, stress, and energy absorption in the treatment group compared to control samples </w:t>
      </w:r>
      <w:r w:rsidRPr="00A127AE">
        <w:rPr>
          <w:rFonts w:asciiTheme="majorBidi" w:hAnsiTheme="majorBidi" w:cstheme="majorBidi"/>
        </w:rPr>
        <w:lastRenderedPageBreak/>
        <w:t>(</w:t>
      </w:r>
      <w:r w:rsidRPr="00A127AE">
        <w:rPr>
          <w:rStyle w:val="Emphasis"/>
          <w:rFonts w:asciiTheme="majorBidi" w:hAnsiTheme="majorBidi" w:cstheme="majorBidi"/>
        </w:rPr>
        <w:t>p</w:t>
      </w:r>
      <w:r w:rsidRPr="00A127AE">
        <w:rPr>
          <w:rFonts w:asciiTheme="majorBidi" w:hAnsiTheme="majorBidi" w:cstheme="majorBidi"/>
        </w:rPr>
        <w:t xml:space="preserve"> &lt; 0.05). However, no significant differences were noted in strain and stiffness between the groups (</w:t>
      </w:r>
      <w:r w:rsidRPr="00A127AE">
        <w:rPr>
          <w:rStyle w:val="Emphasis"/>
          <w:rFonts w:asciiTheme="majorBidi" w:hAnsiTheme="majorBidi" w:cstheme="majorBidi"/>
        </w:rPr>
        <w:t>p</w:t>
      </w:r>
      <w:r w:rsidRPr="00A127AE">
        <w:rPr>
          <w:rFonts w:asciiTheme="majorBidi" w:hAnsiTheme="majorBidi" w:cstheme="majorBidi"/>
        </w:rPr>
        <w:t xml:space="preserve"> &gt; 0.05). The results of mechanical evaluations are presented in Table 1.</w:t>
      </w:r>
    </w:p>
    <w:p w:rsidR="00416496" w:rsidRDefault="00416496" w:rsidP="00416496">
      <w:pPr>
        <w:spacing w:line="360" w:lineRule="auto"/>
        <w:jc w:val="both"/>
        <w:rPr>
          <w:rFonts w:asciiTheme="majorBidi" w:hAnsiTheme="majorBidi" w:cstheme="majorBidi"/>
        </w:rPr>
      </w:pPr>
    </w:p>
    <w:p w:rsidR="00416496" w:rsidRPr="0090788A" w:rsidRDefault="00416496" w:rsidP="00416496">
      <w:pPr>
        <w:rPr>
          <w:rFonts w:asciiTheme="majorBidi" w:hAnsiTheme="majorBidi" w:cstheme="majorBidi"/>
          <w:color w:val="FF0000"/>
          <w:sz w:val="24"/>
        </w:rPr>
      </w:pPr>
      <w:r w:rsidRPr="0090788A">
        <w:rPr>
          <w:rFonts w:asciiTheme="majorBidi" w:hAnsiTheme="majorBidi" w:cstheme="majorBidi"/>
          <w:b/>
          <w:bCs/>
          <w:sz w:val="24"/>
        </w:rPr>
        <w:t>Table 1.</w:t>
      </w:r>
      <w:r w:rsidRPr="0090788A">
        <w:rPr>
          <w:rFonts w:asciiTheme="majorBidi" w:hAnsiTheme="majorBidi" w:cstheme="majorBidi"/>
          <w:sz w:val="24"/>
        </w:rPr>
        <w:t xml:space="preserve"> Mechanical properties of Achilles tendons from control and treatment groups.</w:t>
      </w:r>
    </w:p>
    <w:tbl>
      <w:tblPr>
        <w:tblStyle w:val="TableGrid"/>
        <w:tblW w:w="5000" w:type="pct"/>
        <w:tblCellMar>
          <w:left w:w="29" w:type="dxa"/>
          <w:right w:w="29" w:type="dxa"/>
        </w:tblCellMar>
        <w:tblLook w:val="04A0" w:firstRow="1" w:lastRow="0" w:firstColumn="1" w:lastColumn="0" w:noHBand="0" w:noVBand="1"/>
      </w:tblPr>
      <w:tblGrid>
        <w:gridCol w:w="1380"/>
        <w:gridCol w:w="2109"/>
        <w:gridCol w:w="1745"/>
        <w:gridCol w:w="1563"/>
        <w:gridCol w:w="2553"/>
      </w:tblGrid>
      <w:tr w:rsidR="00416496" w:rsidTr="001114AB">
        <w:tc>
          <w:tcPr>
            <w:tcW w:w="738" w:type="pct"/>
            <w:shd w:val="clear" w:color="auto" w:fill="auto"/>
          </w:tcPr>
          <w:p w:rsidR="00416496" w:rsidRDefault="00416496" w:rsidP="00337E53">
            <w:pPr>
              <w:jc w:val="both"/>
              <w:rPr>
                <w:rFonts w:cs="B Nazanin"/>
                <w:spacing w:val="-4"/>
                <w:sz w:val="28"/>
                <w:szCs w:val="28"/>
              </w:rPr>
            </w:pPr>
            <w:r w:rsidRPr="00A13715">
              <w:rPr>
                <w:rFonts w:asciiTheme="majorBidi" w:hAnsiTheme="majorBidi" w:cstheme="majorBidi"/>
                <w:b/>
                <w:bCs/>
              </w:rPr>
              <w:t>Groups</w:t>
            </w:r>
          </w:p>
        </w:tc>
        <w:tc>
          <w:tcPr>
            <w:tcW w:w="1128" w:type="pct"/>
            <w:shd w:val="clear" w:color="auto" w:fill="auto"/>
            <w:vAlign w:val="center"/>
          </w:tcPr>
          <w:p w:rsidR="00416496" w:rsidRPr="001114AB" w:rsidRDefault="00416496" w:rsidP="001114AB">
            <w:pPr>
              <w:jc w:val="center"/>
              <w:rPr>
                <w:rFonts w:cs="B Nazanin"/>
                <w:b/>
                <w:bCs/>
                <w:spacing w:val="-4"/>
                <w:sz w:val="28"/>
                <w:szCs w:val="28"/>
              </w:rPr>
            </w:pPr>
            <w:r w:rsidRPr="001114AB">
              <w:rPr>
                <w:rFonts w:asciiTheme="majorBidi" w:hAnsiTheme="majorBidi" w:cstheme="majorBidi"/>
                <w:b/>
                <w:bCs/>
              </w:rPr>
              <w:t>Ultimate load (N)</w:t>
            </w:r>
          </w:p>
        </w:tc>
        <w:tc>
          <w:tcPr>
            <w:tcW w:w="933" w:type="pct"/>
            <w:shd w:val="clear" w:color="auto" w:fill="auto"/>
            <w:vAlign w:val="center"/>
          </w:tcPr>
          <w:p w:rsidR="00416496" w:rsidRPr="001114AB" w:rsidRDefault="00416496" w:rsidP="001114AB">
            <w:pPr>
              <w:jc w:val="center"/>
              <w:rPr>
                <w:rFonts w:cs="B Nazanin"/>
                <w:b/>
                <w:bCs/>
                <w:spacing w:val="-4"/>
                <w:sz w:val="28"/>
                <w:szCs w:val="28"/>
              </w:rPr>
            </w:pPr>
            <w:r w:rsidRPr="001114AB">
              <w:rPr>
                <w:rFonts w:asciiTheme="majorBidi" w:hAnsiTheme="majorBidi" w:cstheme="majorBidi"/>
                <w:b/>
                <w:bCs/>
              </w:rPr>
              <w:t>Yield load (N)</w:t>
            </w:r>
          </w:p>
        </w:tc>
        <w:tc>
          <w:tcPr>
            <w:tcW w:w="836" w:type="pct"/>
            <w:shd w:val="clear" w:color="auto" w:fill="auto"/>
            <w:vAlign w:val="center"/>
          </w:tcPr>
          <w:p w:rsidR="00416496" w:rsidRPr="001114AB" w:rsidRDefault="00416496" w:rsidP="001114AB">
            <w:pPr>
              <w:jc w:val="center"/>
              <w:rPr>
                <w:rFonts w:cs="B Nazanin"/>
                <w:b/>
                <w:bCs/>
                <w:spacing w:val="-4"/>
                <w:sz w:val="28"/>
                <w:szCs w:val="28"/>
              </w:rPr>
            </w:pPr>
            <w:r w:rsidRPr="001114AB">
              <w:rPr>
                <w:rFonts w:asciiTheme="majorBidi" w:hAnsiTheme="majorBidi" w:cstheme="majorBidi"/>
                <w:b/>
                <w:bCs/>
              </w:rPr>
              <w:t>Stress (</w:t>
            </w:r>
            <w:proofErr w:type="spellStart"/>
            <w:r w:rsidRPr="001114AB">
              <w:rPr>
                <w:rFonts w:asciiTheme="majorBidi" w:hAnsiTheme="majorBidi" w:cstheme="majorBidi"/>
                <w:b/>
                <w:bCs/>
              </w:rPr>
              <w:t>MPa</w:t>
            </w:r>
            <w:proofErr w:type="spellEnd"/>
            <w:r w:rsidRPr="001114AB">
              <w:rPr>
                <w:rFonts w:asciiTheme="majorBidi" w:hAnsiTheme="majorBidi" w:cstheme="majorBidi"/>
                <w:b/>
                <w:bCs/>
              </w:rPr>
              <w:t>)</w:t>
            </w:r>
          </w:p>
        </w:tc>
        <w:tc>
          <w:tcPr>
            <w:tcW w:w="1365" w:type="pct"/>
            <w:shd w:val="clear" w:color="auto" w:fill="auto"/>
            <w:vAlign w:val="center"/>
          </w:tcPr>
          <w:p w:rsidR="00416496" w:rsidRPr="001114AB" w:rsidRDefault="00416496" w:rsidP="001114AB">
            <w:pPr>
              <w:jc w:val="center"/>
              <w:rPr>
                <w:rFonts w:cs="B Nazanin"/>
                <w:b/>
                <w:bCs/>
                <w:spacing w:val="-4"/>
                <w:sz w:val="28"/>
                <w:szCs w:val="28"/>
              </w:rPr>
            </w:pPr>
            <w:r w:rsidRPr="001114AB">
              <w:rPr>
                <w:rFonts w:asciiTheme="majorBidi" w:hAnsiTheme="majorBidi" w:cstheme="majorBidi"/>
                <w:b/>
                <w:bCs/>
              </w:rPr>
              <w:t>Energy absorption (J)</w:t>
            </w:r>
          </w:p>
        </w:tc>
      </w:tr>
      <w:tr w:rsidR="00416496" w:rsidTr="001114AB">
        <w:tc>
          <w:tcPr>
            <w:tcW w:w="738" w:type="pct"/>
            <w:shd w:val="clear" w:color="auto" w:fill="auto"/>
          </w:tcPr>
          <w:p w:rsidR="00416496" w:rsidRDefault="00416496" w:rsidP="00337E53">
            <w:pPr>
              <w:jc w:val="both"/>
              <w:rPr>
                <w:rFonts w:cs="B Nazanin"/>
                <w:spacing w:val="-4"/>
                <w:sz w:val="28"/>
                <w:szCs w:val="28"/>
              </w:rPr>
            </w:pPr>
            <w:r w:rsidRPr="00A13715">
              <w:rPr>
                <w:rFonts w:asciiTheme="majorBidi" w:hAnsiTheme="majorBidi" w:cstheme="majorBidi"/>
                <w:b/>
                <w:bCs/>
              </w:rPr>
              <w:t>Control</w:t>
            </w:r>
          </w:p>
        </w:tc>
        <w:tc>
          <w:tcPr>
            <w:tcW w:w="1128" w:type="pct"/>
            <w:shd w:val="clear" w:color="auto" w:fill="auto"/>
            <w:vAlign w:val="center"/>
          </w:tcPr>
          <w:p w:rsidR="00416496" w:rsidRDefault="00416496" w:rsidP="001114AB">
            <w:pPr>
              <w:jc w:val="center"/>
              <w:rPr>
                <w:rFonts w:cs="B Nazanin"/>
                <w:spacing w:val="-4"/>
                <w:sz w:val="28"/>
                <w:szCs w:val="28"/>
              </w:rPr>
            </w:pPr>
            <w:r>
              <w:rPr>
                <w:rFonts w:asciiTheme="majorBidi" w:hAnsiTheme="majorBidi" w:cstheme="majorBidi"/>
              </w:rPr>
              <w:t>3.10 ± 2.00</w:t>
            </w:r>
          </w:p>
        </w:tc>
        <w:tc>
          <w:tcPr>
            <w:tcW w:w="933" w:type="pct"/>
            <w:shd w:val="clear" w:color="auto" w:fill="auto"/>
            <w:vAlign w:val="center"/>
          </w:tcPr>
          <w:p w:rsidR="00416496" w:rsidRDefault="00416496" w:rsidP="001114AB">
            <w:pPr>
              <w:jc w:val="center"/>
              <w:rPr>
                <w:rFonts w:cs="B Nazanin"/>
                <w:spacing w:val="-4"/>
                <w:sz w:val="28"/>
                <w:szCs w:val="28"/>
              </w:rPr>
            </w:pPr>
            <w:r>
              <w:rPr>
                <w:rFonts w:asciiTheme="majorBidi" w:hAnsiTheme="majorBidi" w:cstheme="majorBidi"/>
              </w:rPr>
              <w:t>2.70 ± 1.66</w:t>
            </w:r>
          </w:p>
        </w:tc>
        <w:tc>
          <w:tcPr>
            <w:tcW w:w="836" w:type="pct"/>
            <w:shd w:val="clear" w:color="auto" w:fill="auto"/>
            <w:vAlign w:val="center"/>
          </w:tcPr>
          <w:p w:rsidR="00416496" w:rsidRDefault="00416496" w:rsidP="001114AB">
            <w:pPr>
              <w:jc w:val="center"/>
              <w:rPr>
                <w:rFonts w:cs="B Nazanin"/>
                <w:spacing w:val="-4"/>
                <w:sz w:val="28"/>
                <w:szCs w:val="28"/>
              </w:rPr>
            </w:pPr>
            <w:r>
              <w:rPr>
                <w:rFonts w:asciiTheme="majorBidi" w:hAnsiTheme="majorBidi" w:cstheme="majorBidi"/>
              </w:rPr>
              <w:t>0.35 ± 0.17</w:t>
            </w:r>
          </w:p>
        </w:tc>
        <w:tc>
          <w:tcPr>
            <w:tcW w:w="1365" w:type="pct"/>
            <w:shd w:val="clear" w:color="auto" w:fill="auto"/>
            <w:vAlign w:val="center"/>
          </w:tcPr>
          <w:p w:rsidR="00416496" w:rsidRDefault="00416496" w:rsidP="001114AB">
            <w:pPr>
              <w:jc w:val="center"/>
              <w:rPr>
                <w:rFonts w:cs="B Nazanin"/>
                <w:spacing w:val="-4"/>
                <w:sz w:val="28"/>
                <w:szCs w:val="28"/>
              </w:rPr>
            </w:pPr>
            <w:r>
              <w:rPr>
                <w:rFonts w:asciiTheme="majorBidi" w:hAnsiTheme="majorBidi" w:cstheme="majorBidi"/>
              </w:rPr>
              <w:t>6.79 ± 6.40</w:t>
            </w:r>
          </w:p>
        </w:tc>
      </w:tr>
      <w:tr w:rsidR="00416496" w:rsidTr="001114AB">
        <w:tc>
          <w:tcPr>
            <w:tcW w:w="738" w:type="pct"/>
            <w:shd w:val="clear" w:color="auto" w:fill="auto"/>
          </w:tcPr>
          <w:p w:rsidR="00416496" w:rsidRDefault="00416496" w:rsidP="00337E53">
            <w:pPr>
              <w:jc w:val="both"/>
              <w:rPr>
                <w:rFonts w:cs="B Nazanin"/>
                <w:spacing w:val="-4"/>
                <w:sz w:val="28"/>
                <w:szCs w:val="28"/>
              </w:rPr>
            </w:pPr>
            <w:r w:rsidRPr="00A13715">
              <w:rPr>
                <w:rFonts w:asciiTheme="majorBidi" w:hAnsiTheme="majorBidi" w:cstheme="majorBidi"/>
                <w:b/>
                <w:bCs/>
              </w:rPr>
              <w:t>Treatment</w:t>
            </w:r>
          </w:p>
        </w:tc>
        <w:tc>
          <w:tcPr>
            <w:tcW w:w="1128" w:type="pct"/>
            <w:shd w:val="clear" w:color="auto" w:fill="auto"/>
            <w:vAlign w:val="center"/>
          </w:tcPr>
          <w:p w:rsidR="00416496" w:rsidRDefault="00416496" w:rsidP="001114AB">
            <w:pPr>
              <w:jc w:val="center"/>
              <w:rPr>
                <w:rFonts w:cs="B Nazanin"/>
                <w:spacing w:val="-4"/>
                <w:sz w:val="28"/>
                <w:szCs w:val="28"/>
              </w:rPr>
            </w:pPr>
            <w:r>
              <w:rPr>
                <w:rFonts w:asciiTheme="majorBidi" w:hAnsiTheme="majorBidi" w:cstheme="majorBidi"/>
              </w:rPr>
              <w:t>10.44 ± 2.08*</w:t>
            </w:r>
          </w:p>
        </w:tc>
        <w:tc>
          <w:tcPr>
            <w:tcW w:w="933" w:type="pct"/>
            <w:shd w:val="clear" w:color="auto" w:fill="auto"/>
            <w:vAlign w:val="center"/>
          </w:tcPr>
          <w:p w:rsidR="00416496" w:rsidRDefault="00416496" w:rsidP="001114AB">
            <w:pPr>
              <w:jc w:val="center"/>
              <w:rPr>
                <w:rFonts w:cs="B Nazanin"/>
                <w:spacing w:val="-4"/>
                <w:sz w:val="28"/>
                <w:szCs w:val="28"/>
              </w:rPr>
            </w:pPr>
            <w:r>
              <w:rPr>
                <w:rFonts w:asciiTheme="majorBidi" w:hAnsiTheme="majorBidi" w:cstheme="majorBidi"/>
              </w:rPr>
              <w:t>9.48 ± 1.91*</w:t>
            </w:r>
          </w:p>
        </w:tc>
        <w:tc>
          <w:tcPr>
            <w:tcW w:w="836" w:type="pct"/>
            <w:shd w:val="clear" w:color="auto" w:fill="auto"/>
            <w:vAlign w:val="center"/>
          </w:tcPr>
          <w:p w:rsidR="00416496" w:rsidRDefault="00416496" w:rsidP="001114AB">
            <w:pPr>
              <w:jc w:val="center"/>
              <w:rPr>
                <w:rFonts w:cs="B Nazanin"/>
                <w:spacing w:val="-4"/>
                <w:sz w:val="28"/>
                <w:szCs w:val="28"/>
              </w:rPr>
            </w:pPr>
            <w:r>
              <w:rPr>
                <w:rFonts w:asciiTheme="majorBidi" w:hAnsiTheme="majorBidi" w:cstheme="majorBidi"/>
              </w:rPr>
              <w:t>1.95 ± 0.38*</w:t>
            </w:r>
          </w:p>
        </w:tc>
        <w:tc>
          <w:tcPr>
            <w:tcW w:w="1365" w:type="pct"/>
            <w:shd w:val="clear" w:color="auto" w:fill="auto"/>
            <w:vAlign w:val="center"/>
          </w:tcPr>
          <w:p w:rsidR="00416496" w:rsidRDefault="00416496" w:rsidP="001114AB">
            <w:pPr>
              <w:jc w:val="center"/>
              <w:rPr>
                <w:rFonts w:cs="B Nazanin"/>
                <w:spacing w:val="-4"/>
                <w:sz w:val="28"/>
                <w:szCs w:val="28"/>
              </w:rPr>
            </w:pPr>
            <w:r>
              <w:rPr>
                <w:rFonts w:asciiTheme="majorBidi" w:hAnsiTheme="majorBidi" w:cstheme="majorBidi"/>
              </w:rPr>
              <w:t>16.65 ± 1.69*</w:t>
            </w:r>
          </w:p>
        </w:tc>
      </w:tr>
    </w:tbl>
    <w:p w:rsidR="00416496" w:rsidRDefault="00416496" w:rsidP="00416496">
      <w:pPr>
        <w:spacing w:line="480" w:lineRule="auto"/>
        <w:rPr>
          <w:rFonts w:asciiTheme="majorBidi" w:hAnsiTheme="majorBidi" w:cstheme="majorBidi"/>
        </w:rPr>
      </w:pPr>
      <w:r>
        <w:rPr>
          <w:rFonts w:asciiTheme="majorBidi" w:hAnsiTheme="majorBidi" w:cstheme="majorBidi"/>
        </w:rPr>
        <w:t xml:space="preserve">* Asterisk indicates significant differences between groups in each column </w:t>
      </w:r>
      <w:r w:rsidRPr="00EF7473">
        <w:rPr>
          <w:rFonts w:asciiTheme="majorBidi" w:hAnsiTheme="majorBidi" w:cstheme="majorBidi"/>
        </w:rPr>
        <w:t>(</w:t>
      </w:r>
      <w:r w:rsidRPr="00EF7473">
        <w:rPr>
          <w:rFonts w:asciiTheme="majorBidi" w:hAnsiTheme="majorBidi" w:cstheme="majorBidi"/>
          <w:i/>
          <w:iCs/>
        </w:rPr>
        <w:t>p</w:t>
      </w:r>
      <w:r w:rsidRPr="00EF7473">
        <w:rPr>
          <w:rFonts w:asciiTheme="majorBidi" w:hAnsiTheme="majorBidi" w:cstheme="majorBidi"/>
        </w:rPr>
        <w:t xml:space="preserve"> &lt; 0.05</w:t>
      </w:r>
      <w:r>
        <w:rPr>
          <w:rFonts w:asciiTheme="majorBidi" w:hAnsiTheme="majorBidi" w:cstheme="majorBidi"/>
        </w:rPr>
        <w:t>).</w:t>
      </w:r>
    </w:p>
    <w:p w:rsidR="00416496" w:rsidRPr="00A127AE" w:rsidRDefault="00416496" w:rsidP="00416496">
      <w:pPr>
        <w:spacing w:line="360" w:lineRule="auto"/>
        <w:jc w:val="both"/>
        <w:rPr>
          <w:rFonts w:asciiTheme="majorBidi" w:hAnsiTheme="majorBidi" w:cstheme="majorBidi"/>
        </w:rPr>
      </w:pPr>
    </w:p>
    <w:p w:rsidR="00416496" w:rsidRPr="00047A0B" w:rsidRDefault="00416496" w:rsidP="00416496">
      <w:pPr>
        <w:pStyle w:val="p"/>
        <w:spacing w:line="360" w:lineRule="auto"/>
        <w:jc w:val="both"/>
        <w:rPr>
          <w:rFonts w:asciiTheme="majorBidi" w:hAnsiTheme="majorBidi"/>
          <w:b/>
          <w:bCs/>
        </w:rPr>
      </w:pPr>
      <w:r w:rsidRPr="00047A0B">
        <w:rPr>
          <w:rFonts w:asciiTheme="majorBidi" w:hAnsiTheme="majorBidi" w:cstheme="majorBidi"/>
          <w:b/>
          <w:bCs/>
        </w:rPr>
        <w:t>Discussion</w:t>
      </w:r>
    </w:p>
    <w:p w:rsidR="00416496" w:rsidRDefault="00416496" w:rsidP="00241C8B">
      <w:pPr>
        <w:pStyle w:val="p"/>
        <w:spacing w:line="360" w:lineRule="auto"/>
        <w:jc w:val="both"/>
        <w:rPr>
          <w:rFonts w:asciiTheme="majorBidi" w:hAnsiTheme="majorBidi" w:cstheme="majorBidi"/>
        </w:rPr>
      </w:pPr>
      <w:r w:rsidRPr="00A127AE">
        <w:rPr>
          <w:rFonts w:asciiTheme="majorBidi" w:hAnsiTheme="majorBidi" w:cstheme="majorBidi"/>
        </w:rPr>
        <w:t xml:space="preserve">Different strategies have been developed to improve tendon healing. Despite the cost of sophisticated methods such as cell- and gene therapies, significant progress has not been reported yet. It is believed that the </w:t>
      </w:r>
      <w:proofErr w:type="spellStart"/>
      <w:r w:rsidRPr="00A127AE">
        <w:rPr>
          <w:rFonts w:asciiTheme="majorBidi" w:hAnsiTheme="majorBidi" w:cstheme="majorBidi"/>
        </w:rPr>
        <w:t>hypocellular</w:t>
      </w:r>
      <w:proofErr w:type="spellEnd"/>
      <w:r w:rsidRPr="00A127AE">
        <w:rPr>
          <w:rFonts w:asciiTheme="majorBidi" w:hAnsiTheme="majorBidi" w:cstheme="majorBidi"/>
        </w:rPr>
        <w:t xml:space="preserve"> and </w:t>
      </w:r>
      <w:proofErr w:type="spellStart"/>
      <w:r w:rsidRPr="00A127AE">
        <w:rPr>
          <w:rFonts w:asciiTheme="majorBidi" w:hAnsiTheme="majorBidi" w:cstheme="majorBidi"/>
        </w:rPr>
        <w:t>hypovascular</w:t>
      </w:r>
      <w:proofErr w:type="spellEnd"/>
      <w:r w:rsidRPr="00A127AE">
        <w:rPr>
          <w:rFonts w:asciiTheme="majorBidi" w:hAnsiTheme="majorBidi" w:cstheme="majorBidi"/>
        </w:rPr>
        <w:t xml:space="preserve"> nature of tendon tissue makes its repair challenging. Low metabolic rate and limited blood flow eventuate the slow and inadequate healing of the tendon after injury. The present study aimed to investigate the potential effects of orally administered silymarin on the healing of the Achilles tendon after complete transection and anastomosis in rats. Based on the anti-inflammatory and anti-oxidant properties of silymarin, it was hypothesized that silymarin could improve tendon histological and mechanical properties after healing.</w:t>
      </w:r>
      <w:r w:rsidR="00241C8B">
        <w:rPr>
          <w:rFonts w:asciiTheme="majorBidi" w:hAnsiTheme="majorBidi" w:cstheme="majorBidi"/>
        </w:rPr>
        <w:t xml:space="preserve"> </w:t>
      </w:r>
      <w:proofErr w:type="spellStart"/>
      <w:r w:rsidRPr="00A127AE">
        <w:rPr>
          <w:rFonts w:asciiTheme="majorBidi" w:hAnsiTheme="majorBidi" w:cstheme="majorBidi"/>
        </w:rPr>
        <w:t>Alaseirlis</w:t>
      </w:r>
      <w:proofErr w:type="spellEnd"/>
      <w:r w:rsidRPr="00A127AE">
        <w:rPr>
          <w:rFonts w:asciiTheme="majorBidi" w:hAnsiTheme="majorBidi" w:cstheme="majorBidi"/>
        </w:rPr>
        <w:t xml:space="preserve"> </w:t>
      </w:r>
      <w:r w:rsidRPr="00A127AE">
        <w:rPr>
          <w:rStyle w:val="Emphasis"/>
          <w:rFonts w:asciiTheme="majorBidi" w:hAnsiTheme="majorBidi" w:cstheme="majorBidi"/>
        </w:rPr>
        <w:t>et al</w:t>
      </w:r>
      <w:r w:rsidRPr="00A127AE">
        <w:rPr>
          <w:rFonts w:asciiTheme="majorBidi" w:hAnsiTheme="majorBidi" w:cstheme="majorBidi"/>
        </w:rPr>
        <w:t>. have reported that to increase the quality of the repairs, it is essential to decrease the inflammation in the early stages of wound healing</w:t>
      </w:r>
      <w:r>
        <w:rPr>
          <w:rFonts w:asciiTheme="majorBidi" w:hAnsiTheme="majorBidi" w:cstheme="majorBidi"/>
        </w:rPr>
        <w:t xml:space="preserve"> (7)</w:t>
      </w:r>
      <w:r w:rsidRPr="00A127AE">
        <w:rPr>
          <w:rFonts w:asciiTheme="majorBidi" w:hAnsiTheme="majorBidi" w:cstheme="majorBidi"/>
        </w:rPr>
        <w:t>. Silymarin possesses potent anti-inflammatory and anti-oxidant effects, and it increases the activity of free radical scavenging enzymes, which help prevent damage from free radicals. Silymarin exerts its anti-inflammatory activity through inhibition of interleukin-1 and prostaglandin E2</w:t>
      </w:r>
      <w:r>
        <w:rPr>
          <w:rFonts w:asciiTheme="majorBidi" w:hAnsiTheme="majorBidi" w:cstheme="majorBidi"/>
        </w:rPr>
        <w:t xml:space="preserve"> (8)</w:t>
      </w:r>
      <w:r w:rsidRPr="00A127AE">
        <w:rPr>
          <w:rFonts w:asciiTheme="majorBidi" w:hAnsiTheme="majorBidi" w:cstheme="majorBidi"/>
        </w:rPr>
        <w:t xml:space="preserve">. In this study, a significant decrease in the infiltration of inflammatory cells was observed in the treatment group. According to the histopathological studies at six weeks post-operation, the </w:t>
      </w:r>
      <w:proofErr w:type="spellStart"/>
      <w:r w:rsidRPr="00A127AE">
        <w:rPr>
          <w:rFonts w:asciiTheme="majorBidi" w:hAnsiTheme="majorBidi" w:cstheme="majorBidi"/>
        </w:rPr>
        <w:t>neotendons</w:t>
      </w:r>
      <w:proofErr w:type="spellEnd"/>
      <w:r w:rsidRPr="00A127AE">
        <w:rPr>
          <w:rFonts w:asciiTheme="majorBidi" w:hAnsiTheme="majorBidi" w:cstheme="majorBidi"/>
        </w:rPr>
        <w:t xml:space="preserve"> in the </w:t>
      </w:r>
      <w:proofErr w:type="spellStart"/>
      <w:r w:rsidRPr="00A127AE">
        <w:rPr>
          <w:rFonts w:asciiTheme="majorBidi" w:hAnsiTheme="majorBidi" w:cstheme="majorBidi"/>
        </w:rPr>
        <w:t>silymarin</w:t>
      </w:r>
      <w:proofErr w:type="spellEnd"/>
      <w:r w:rsidRPr="00A127AE">
        <w:rPr>
          <w:rFonts w:asciiTheme="majorBidi" w:hAnsiTheme="majorBidi" w:cstheme="majorBidi"/>
        </w:rPr>
        <w:t xml:space="preserve"> treated group demonstrated characteristics of the maturation phase of tendon healing in which vascularity declines and dense collagen bundles line up in the direction of tension. The maturation phase occurs after 10 weeks from a tendon injury in normal condition</w:t>
      </w:r>
      <w:r>
        <w:rPr>
          <w:rFonts w:asciiTheme="majorBidi" w:hAnsiTheme="majorBidi" w:cstheme="majorBidi"/>
        </w:rPr>
        <w:t xml:space="preserve"> (9)</w:t>
      </w:r>
      <w:r w:rsidRPr="00A127AE">
        <w:rPr>
          <w:rFonts w:asciiTheme="majorBidi" w:hAnsiTheme="majorBidi" w:cstheme="majorBidi"/>
        </w:rPr>
        <w:t xml:space="preserve">. Based on these histopathology findings, it can be postulated that silymarin accelerates the healing process through its anti-inflammatory and anti-oxidant properties by preceding the repair events from 6 to 10 weeks post-injury. In this study, no significant difference was observed in the number of fibroblasts between </w:t>
      </w:r>
      <w:r w:rsidRPr="00A127AE">
        <w:rPr>
          <w:rFonts w:asciiTheme="majorBidi" w:hAnsiTheme="majorBidi" w:cstheme="majorBidi"/>
        </w:rPr>
        <w:lastRenderedPageBreak/>
        <w:t xml:space="preserve">the two groups. Although, it is in agreement with </w:t>
      </w:r>
      <w:proofErr w:type="spellStart"/>
      <w:r w:rsidRPr="00A127AE">
        <w:rPr>
          <w:rFonts w:asciiTheme="majorBidi" w:hAnsiTheme="majorBidi" w:cstheme="majorBidi"/>
        </w:rPr>
        <w:t>Sharifi</w:t>
      </w:r>
      <w:proofErr w:type="spellEnd"/>
      <w:r w:rsidRPr="00A127AE">
        <w:rPr>
          <w:rFonts w:asciiTheme="majorBidi" w:hAnsiTheme="majorBidi" w:cstheme="majorBidi"/>
        </w:rPr>
        <w:t xml:space="preserve"> </w:t>
      </w:r>
      <w:r w:rsidRPr="00A127AE">
        <w:rPr>
          <w:rStyle w:val="Emphasis"/>
          <w:rFonts w:asciiTheme="majorBidi" w:hAnsiTheme="majorBidi" w:cstheme="majorBidi"/>
        </w:rPr>
        <w:t>et al</w:t>
      </w:r>
      <w:r w:rsidRPr="00A127AE">
        <w:rPr>
          <w:rFonts w:asciiTheme="majorBidi" w:hAnsiTheme="majorBidi" w:cstheme="majorBidi"/>
        </w:rPr>
        <w:t xml:space="preserve">. obtaining similar results in an </w:t>
      </w:r>
      <w:r w:rsidRPr="00A127AE">
        <w:rPr>
          <w:rStyle w:val="Emphasis"/>
          <w:rFonts w:asciiTheme="majorBidi" w:hAnsiTheme="majorBidi" w:cstheme="majorBidi"/>
        </w:rPr>
        <w:t>in vitro</w:t>
      </w:r>
      <w:r w:rsidRPr="00A127AE">
        <w:rPr>
          <w:rFonts w:asciiTheme="majorBidi" w:hAnsiTheme="majorBidi" w:cstheme="majorBidi"/>
        </w:rPr>
        <w:t xml:space="preserve"> study on human skin treated with silymarin</w:t>
      </w:r>
      <w:r>
        <w:rPr>
          <w:rFonts w:asciiTheme="majorBidi" w:hAnsiTheme="majorBidi" w:cstheme="majorBidi"/>
        </w:rPr>
        <w:t xml:space="preserve"> (10).</w:t>
      </w:r>
      <w:r w:rsidRPr="00A127AE">
        <w:rPr>
          <w:rFonts w:asciiTheme="majorBidi" w:hAnsiTheme="majorBidi" w:cstheme="majorBidi"/>
        </w:rPr>
        <w:t xml:space="preserve"> </w:t>
      </w:r>
      <w:proofErr w:type="spellStart"/>
      <w:r w:rsidRPr="00A127AE">
        <w:rPr>
          <w:rFonts w:asciiTheme="majorBidi" w:hAnsiTheme="majorBidi" w:cstheme="majorBidi"/>
        </w:rPr>
        <w:t>Ashkani-Esfahani</w:t>
      </w:r>
      <w:proofErr w:type="spellEnd"/>
      <w:r w:rsidRPr="00A127AE">
        <w:rPr>
          <w:rFonts w:asciiTheme="majorBidi" w:hAnsiTheme="majorBidi" w:cstheme="majorBidi"/>
        </w:rPr>
        <w:t xml:space="preserve"> </w:t>
      </w:r>
      <w:r w:rsidRPr="00A127AE">
        <w:rPr>
          <w:rStyle w:val="Emphasis"/>
          <w:rFonts w:asciiTheme="majorBidi" w:hAnsiTheme="majorBidi" w:cstheme="majorBidi"/>
        </w:rPr>
        <w:t>et al</w:t>
      </w:r>
      <w:r w:rsidRPr="00A127AE">
        <w:rPr>
          <w:rFonts w:asciiTheme="majorBidi" w:hAnsiTheme="majorBidi" w:cstheme="majorBidi"/>
        </w:rPr>
        <w:t>. have reported that silymarin enhances fibroblast proliferation in rat dermal wound healing after 15 days</w:t>
      </w:r>
      <w:r>
        <w:rPr>
          <w:rFonts w:asciiTheme="majorBidi" w:hAnsiTheme="majorBidi" w:cstheme="majorBidi"/>
        </w:rPr>
        <w:t xml:space="preserve"> (6)</w:t>
      </w:r>
      <w:r w:rsidRPr="00A127AE">
        <w:rPr>
          <w:rFonts w:asciiTheme="majorBidi" w:hAnsiTheme="majorBidi" w:cstheme="majorBidi"/>
        </w:rPr>
        <w:t>. Considering the dense, elongated, and parallel nuclei of fibroblasts in the treatment group, it can be believed that silymarin increased fibroblasts population in earlier stages of Achilles tendon healing. Then, due to the accelerated maturation phase, they progressively disappeared from granulation tissue.</w:t>
      </w:r>
      <w:r w:rsidR="00241C8B">
        <w:rPr>
          <w:rFonts w:asciiTheme="majorBidi" w:hAnsiTheme="majorBidi" w:cstheme="majorBidi"/>
        </w:rPr>
        <w:t xml:space="preserve"> </w:t>
      </w:r>
      <w:r w:rsidRPr="00A127AE">
        <w:rPr>
          <w:rFonts w:asciiTheme="majorBidi" w:hAnsiTheme="majorBidi" w:cstheme="majorBidi"/>
        </w:rPr>
        <w:t xml:space="preserve">Fibroblasts secrete collagen fibers, and collagen deposition is essential for increasing the tensile strength of the wound. The most reliable method to assess the tensile strength of connective tissues such as tendons is mechanical evaluation. This method is believed as a gold standard to evaluate the efficacy of any treatment on tendon healing. The results of mechanical tests in the present study revealed that silymarin significantly improved the tensile strength of tendons, directly linked to collagen deposition and fibers alignment, as approved by the histological assessments. Increased ultimate load indicates that newly repaired tendons could withstand higher tensile forces during physical activities, and increased yield load shows more elastic behavior of tendons after releasing the forces. The lower yield load or the plastic limit load observed in the control group suggests that </w:t>
      </w:r>
      <w:proofErr w:type="spellStart"/>
      <w:r w:rsidRPr="00A127AE">
        <w:rPr>
          <w:rFonts w:asciiTheme="majorBidi" w:hAnsiTheme="majorBidi" w:cstheme="majorBidi"/>
        </w:rPr>
        <w:t>neotendons</w:t>
      </w:r>
      <w:proofErr w:type="spellEnd"/>
      <w:r w:rsidRPr="00A127AE">
        <w:rPr>
          <w:rFonts w:asciiTheme="majorBidi" w:hAnsiTheme="majorBidi" w:cstheme="majorBidi"/>
        </w:rPr>
        <w:t xml:space="preserve"> are more predisposed to disruption under minor tensile forces</w:t>
      </w:r>
      <w:r>
        <w:rPr>
          <w:rFonts w:asciiTheme="majorBidi" w:hAnsiTheme="majorBidi" w:cstheme="majorBidi"/>
        </w:rPr>
        <w:t xml:space="preserve"> (11)</w:t>
      </w:r>
      <w:r w:rsidRPr="00A127AE">
        <w:rPr>
          <w:rFonts w:asciiTheme="majorBidi" w:hAnsiTheme="majorBidi" w:cstheme="majorBidi"/>
        </w:rPr>
        <w:t>. Tendons act as shock absorbers by absorbing energy and protect muscles from injury. It has been reported that the more energy is absorbed, the more resistance to injury occurs. The muscles and the repaired tendons themselves are prone to injury and re-rupture if they show insufficient energy absorption capacity</w:t>
      </w:r>
      <w:r>
        <w:rPr>
          <w:rFonts w:asciiTheme="majorBidi" w:hAnsiTheme="majorBidi" w:cstheme="majorBidi"/>
        </w:rPr>
        <w:t xml:space="preserve"> (12)</w:t>
      </w:r>
      <w:r w:rsidRPr="00A127AE">
        <w:rPr>
          <w:rFonts w:asciiTheme="majorBidi" w:hAnsiTheme="majorBidi" w:cstheme="majorBidi"/>
        </w:rPr>
        <w:t>. In the present study, higher energy absorption in treatment groups was observed compared to a control group.</w:t>
      </w:r>
      <w:r w:rsidR="00241C8B">
        <w:rPr>
          <w:rFonts w:asciiTheme="majorBidi" w:hAnsiTheme="majorBidi" w:cstheme="majorBidi"/>
        </w:rPr>
        <w:t xml:space="preserve"> </w:t>
      </w:r>
      <w:r w:rsidRPr="00A127AE">
        <w:rPr>
          <w:rFonts w:asciiTheme="majorBidi" w:hAnsiTheme="majorBidi" w:cstheme="majorBidi"/>
        </w:rPr>
        <w:t xml:space="preserve">In conclusion, the present study showed that oral administration of silymarin facilitated tendon healing via improved structural characteristics, earlier recovery, and significantly stronger </w:t>
      </w:r>
      <w:proofErr w:type="spellStart"/>
      <w:r w:rsidRPr="00A127AE">
        <w:rPr>
          <w:rFonts w:asciiTheme="majorBidi" w:hAnsiTheme="majorBidi" w:cstheme="majorBidi"/>
        </w:rPr>
        <w:t>neotendons</w:t>
      </w:r>
      <w:proofErr w:type="spellEnd"/>
      <w:r w:rsidRPr="00A127AE">
        <w:rPr>
          <w:rFonts w:asciiTheme="majorBidi" w:hAnsiTheme="majorBidi" w:cstheme="majorBidi"/>
        </w:rPr>
        <w:t xml:space="preserve"> formation in rats after experimental Achilles </w:t>
      </w:r>
      <w:proofErr w:type="spellStart"/>
      <w:r w:rsidRPr="00A127AE">
        <w:rPr>
          <w:rFonts w:asciiTheme="majorBidi" w:hAnsiTheme="majorBidi" w:cstheme="majorBidi"/>
        </w:rPr>
        <w:t>tenotomy</w:t>
      </w:r>
      <w:proofErr w:type="spellEnd"/>
      <w:r w:rsidRPr="00A127AE">
        <w:rPr>
          <w:rFonts w:asciiTheme="majorBidi" w:hAnsiTheme="majorBidi" w:cstheme="majorBidi"/>
        </w:rPr>
        <w:t xml:space="preserve"> and </w:t>
      </w:r>
      <w:proofErr w:type="spellStart"/>
      <w:r w:rsidRPr="00A127AE">
        <w:rPr>
          <w:rFonts w:asciiTheme="majorBidi" w:hAnsiTheme="majorBidi" w:cstheme="majorBidi"/>
        </w:rPr>
        <w:t>tenorrhaphy</w:t>
      </w:r>
      <w:proofErr w:type="spellEnd"/>
      <w:r w:rsidRPr="00A127AE">
        <w:rPr>
          <w:rFonts w:asciiTheme="majorBidi" w:hAnsiTheme="majorBidi" w:cstheme="majorBidi"/>
        </w:rPr>
        <w:t>.</w:t>
      </w:r>
    </w:p>
    <w:p w:rsidR="00416496" w:rsidRPr="00271DE5" w:rsidRDefault="00416496" w:rsidP="00416496">
      <w:pPr>
        <w:pStyle w:val="p"/>
        <w:spacing w:line="360" w:lineRule="auto"/>
        <w:jc w:val="both"/>
        <w:rPr>
          <w:rFonts w:asciiTheme="majorBidi" w:hAnsiTheme="majorBidi" w:cstheme="majorBidi"/>
          <w:b/>
          <w:bCs/>
        </w:rPr>
      </w:pPr>
      <w:r w:rsidRPr="00271DE5">
        <w:rPr>
          <w:rFonts w:asciiTheme="majorBidi" w:hAnsiTheme="majorBidi" w:cstheme="majorBidi"/>
          <w:b/>
          <w:bCs/>
        </w:rPr>
        <w:t>References</w:t>
      </w:r>
    </w:p>
    <w:p w:rsidR="00416496" w:rsidRPr="00A127AE" w:rsidRDefault="00416496" w:rsidP="00E058B5">
      <w:pPr>
        <w:rPr>
          <w:sz w:val="24"/>
        </w:rPr>
      </w:pPr>
      <w:r w:rsidRPr="00A127AE">
        <w:rPr>
          <w:sz w:val="24"/>
        </w:rPr>
        <w:t xml:space="preserve">1. Sharma P, </w:t>
      </w:r>
      <w:proofErr w:type="spellStart"/>
      <w:r w:rsidRPr="00A127AE">
        <w:rPr>
          <w:sz w:val="24"/>
        </w:rPr>
        <w:t>Maffulli</w:t>
      </w:r>
      <w:proofErr w:type="spellEnd"/>
      <w:r w:rsidRPr="00A127AE">
        <w:rPr>
          <w:sz w:val="24"/>
        </w:rPr>
        <w:t xml:space="preserve"> N. Tendon injury and </w:t>
      </w:r>
      <w:proofErr w:type="spellStart"/>
      <w:r w:rsidRPr="00A127AE">
        <w:rPr>
          <w:sz w:val="24"/>
        </w:rPr>
        <w:t>tendinopathy</w:t>
      </w:r>
      <w:proofErr w:type="spellEnd"/>
      <w:r w:rsidRPr="00A127AE">
        <w:rPr>
          <w:sz w:val="24"/>
        </w:rPr>
        <w:t xml:space="preserve">: healing and repair. J Bone Joint </w:t>
      </w:r>
      <w:proofErr w:type="spellStart"/>
      <w:r w:rsidRPr="00A127AE">
        <w:rPr>
          <w:sz w:val="24"/>
        </w:rPr>
        <w:t>Surg</w:t>
      </w:r>
      <w:proofErr w:type="spellEnd"/>
      <w:r w:rsidRPr="00A127AE">
        <w:rPr>
          <w:sz w:val="24"/>
        </w:rPr>
        <w:t xml:space="preserve"> Am 2005</w:t>
      </w:r>
      <w:proofErr w:type="gramStart"/>
      <w:r w:rsidRPr="00A127AE">
        <w:rPr>
          <w:sz w:val="24"/>
        </w:rPr>
        <w:t>;87</w:t>
      </w:r>
      <w:proofErr w:type="gramEnd"/>
      <w:r w:rsidRPr="00A127AE">
        <w:rPr>
          <w:sz w:val="24"/>
        </w:rPr>
        <w:t>(1):187</w:t>
      </w:r>
      <w:r>
        <w:rPr>
          <w:sz w:val="24"/>
        </w:rPr>
        <w:t>-</w:t>
      </w:r>
      <w:r w:rsidRPr="00A127AE">
        <w:rPr>
          <w:sz w:val="24"/>
        </w:rPr>
        <w:t xml:space="preserve">202. </w:t>
      </w:r>
    </w:p>
    <w:p w:rsidR="00416496" w:rsidRPr="00021684" w:rsidRDefault="00416496" w:rsidP="00416496">
      <w:pPr>
        <w:rPr>
          <w:sz w:val="24"/>
          <w:lang w:val="es-US"/>
        </w:rPr>
      </w:pPr>
      <w:r w:rsidRPr="00416496">
        <w:rPr>
          <w:sz w:val="24"/>
        </w:rPr>
        <w:t xml:space="preserve">2. Liu C, Yu K, Bai J, et al. </w:t>
      </w:r>
      <w:r w:rsidRPr="00A127AE">
        <w:rPr>
          <w:sz w:val="24"/>
        </w:rPr>
        <w:t xml:space="preserve">Experimental study of tendon sheath repair via </w:t>
      </w:r>
      <w:proofErr w:type="spellStart"/>
      <w:r w:rsidRPr="00A127AE">
        <w:rPr>
          <w:sz w:val="24"/>
        </w:rPr>
        <w:t>decellularized</w:t>
      </w:r>
      <w:proofErr w:type="spellEnd"/>
      <w:r w:rsidRPr="00A127AE">
        <w:rPr>
          <w:sz w:val="24"/>
        </w:rPr>
        <w:t xml:space="preserve"> amnion to prevent tendon adhesion. </w:t>
      </w:r>
      <w:proofErr w:type="spellStart"/>
      <w:r w:rsidRPr="00021684">
        <w:rPr>
          <w:sz w:val="24"/>
          <w:lang w:val="es-US"/>
        </w:rPr>
        <w:t>PLoS</w:t>
      </w:r>
      <w:proofErr w:type="spellEnd"/>
      <w:r w:rsidRPr="00021684">
        <w:rPr>
          <w:sz w:val="24"/>
          <w:lang w:val="es-US"/>
        </w:rPr>
        <w:t xml:space="preserve"> ONE 2018</w:t>
      </w:r>
      <w:proofErr w:type="gramStart"/>
      <w:r w:rsidRPr="00021684">
        <w:rPr>
          <w:sz w:val="24"/>
          <w:lang w:val="es-US"/>
        </w:rPr>
        <w:t>;13</w:t>
      </w:r>
      <w:proofErr w:type="gramEnd"/>
      <w:r w:rsidRPr="00021684">
        <w:rPr>
          <w:sz w:val="24"/>
          <w:lang w:val="es-US"/>
        </w:rPr>
        <w:t xml:space="preserve">(10):e0205811. </w:t>
      </w:r>
    </w:p>
    <w:p w:rsidR="00416496" w:rsidRPr="00A127AE" w:rsidRDefault="00416496" w:rsidP="00416496">
      <w:pPr>
        <w:rPr>
          <w:sz w:val="24"/>
        </w:rPr>
      </w:pPr>
      <w:r>
        <w:rPr>
          <w:sz w:val="24"/>
          <w:lang w:val="es-US"/>
        </w:rPr>
        <w:t>3</w:t>
      </w:r>
      <w:r w:rsidRPr="00A127AE">
        <w:rPr>
          <w:sz w:val="24"/>
          <w:lang w:val="es-US"/>
        </w:rPr>
        <w:t xml:space="preserve">. Lisboa FA, Bradley MJ, </w:t>
      </w:r>
      <w:proofErr w:type="spellStart"/>
      <w:r w:rsidRPr="00A127AE">
        <w:rPr>
          <w:sz w:val="24"/>
          <w:lang w:val="es-US"/>
        </w:rPr>
        <w:t>Hueman</w:t>
      </w:r>
      <w:proofErr w:type="spellEnd"/>
      <w:r w:rsidRPr="00A127AE">
        <w:rPr>
          <w:sz w:val="24"/>
          <w:lang w:val="es-US"/>
        </w:rPr>
        <w:t xml:space="preserve"> MT, et al. </w:t>
      </w:r>
      <w:proofErr w:type="spellStart"/>
      <w:r w:rsidRPr="00A127AE">
        <w:rPr>
          <w:sz w:val="24"/>
        </w:rPr>
        <w:t>Nonsteroidal</w:t>
      </w:r>
      <w:proofErr w:type="spellEnd"/>
      <w:r w:rsidRPr="00A127AE">
        <w:rPr>
          <w:sz w:val="24"/>
        </w:rPr>
        <w:t xml:space="preserve"> anti-inflammatory drugs may affect cytokine response and benefit healing of combat-related extremity wounds. Surgery</w:t>
      </w:r>
      <w:r>
        <w:rPr>
          <w:sz w:val="24"/>
        </w:rPr>
        <w:t xml:space="preserve"> </w:t>
      </w:r>
      <w:r w:rsidRPr="00A127AE">
        <w:rPr>
          <w:sz w:val="24"/>
        </w:rPr>
        <w:t>2017</w:t>
      </w:r>
      <w:proofErr w:type="gramStart"/>
      <w:r w:rsidRPr="00A127AE">
        <w:rPr>
          <w:sz w:val="24"/>
        </w:rPr>
        <w:t>;161</w:t>
      </w:r>
      <w:proofErr w:type="gramEnd"/>
      <w:r w:rsidRPr="00A127AE">
        <w:rPr>
          <w:sz w:val="24"/>
        </w:rPr>
        <w:t>(4):1164</w:t>
      </w:r>
      <w:r>
        <w:rPr>
          <w:sz w:val="24"/>
        </w:rPr>
        <w:t>-</w:t>
      </w:r>
      <w:r w:rsidRPr="00A127AE">
        <w:rPr>
          <w:sz w:val="24"/>
        </w:rPr>
        <w:t xml:space="preserve">1173. </w:t>
      </w:r>
    </w:p>
    <w:p w:rsidR="00416496" w:rsidRPr="00A127AE" w:rsidRDefault="00416496" w:rsidP="00416496">
      <w:pPr>
        <w:rPr>
          <w:sz w:val="24"/>
        </w:rPr>
      </w:pPr>
      <w:r>
        <w:rPr>
          <w:sz w:val="24"/>
        </w:rPr>
        <w:lastRenderedPageBreak/>
        <w:t>4</w:t>
      </w:r>
      <w:r w:rsidRPr="00A127AE">
        <w:rPr>
          <w:sz w:val="24"/>
        </w:rPr>
        <w:t xml:space="preserve">. </w:t>
      </w:r>
      <w:proofErr w:type="spellStart"/>
      <w:r w:rsidRPr="00A127AE">
        <w:rPr>
          <w:sz w:val="24"/>
        </w:rPr>
        <w:t>Dimmen</w:t>
      </w:r>
      <w:proofErr w:type="spellEnd"/>
      <w:r w:rsidRPr="00A127AE">
        <w:rPr>
          <w:sz w:val="24"/>
        </w:rPr>
        <w:t xml:space="preserve"> S, </w:t>
      </w:r>
      <w:proofErr w:type="spellStart"/>
      <w:r w:rsidRPr="00A127AE">
        <w:rPr>
          <w:sz w:val="24"/>
        </w:rPr>
        <w:t>Engebretsen</w:t>
      </w:r>
      <w:proofErr w:type="spellEnd"/>
      <w:r w:rsidRPr="00A127AE">
        <w:rPr>
          <w:sz w:val="24"/>
        </w:rPr>
        <w:t xml:space="preserve"> L, </w:t>
      </w:r>
      <w:proofErr w:type="spellStart"/>
      <w:r w:rsidRPr="00A127AE">
        <w:rPr>
          <w:sz w:val="24"/>
        </w:rPr>
        <w:t>Nordsletten</w:t>
      </w:r>
      <w:proofErr w:type="spellEnd"/>
      <w:r w:rsidRPr="00A127AE">
        <w:rPr>
          <w:sz w:val="24"/>
        </w:rPr>
        <w:t xml:space="preserve"> L, et al. Negative effects of </w:t>
      </w:r>
      <w:proofErr w:type="spellStart"/>
      <w:r w:rsidRPr="00A127AE">
        <w:rPr>
          <w:sz w:val="24"/>
        </w:rPr>
        <w:t>parecoxib</w:t>
      </w:r>
      <w:proofErr w:type="spellEnd"/>
      <w:r w:rsidRPr="00A127AE">
        <w:rPr>
          <w:sz w:val="24"/>
        </w:rPr>
        <w:t xml:space="preserve"> and indomethacin on tendon healing: an experimental study in rats. Knee </w:t>
      </w:r>
      <w:proofErr w:type="spellStart"/>
      <w:r w:rsidRPr="00A127AE">
        <w:rPr>
          <w:sz w:val="24"/>
        </w:rPr>
        <w:t>Surg</w:t>
      </w:r>
      <w:proofErr w:type="spellEnd"/>
      <w:r w:rsidRPr="00A127AE">
        <w:rPr>
          <w:sz w:val="24"/>
        </w:rPr>
        <w:t xml:space="preserve"> Sports </w:t>
      </w:r>
      <w:proofErr w:type="spellStart"/>
      <w:r w:rsidRPr="00A127AE">
        <w:rPr>
          <w:sz w:val="24"/>
        </w:rPr>
        <w:t>Traumatol</w:t>
      </w:r>
      <w:proofErr w:type="spellEnd"/>
      <w:r w:rsidRPr="00A127AE">
        <w:rPr>
          <w:sz w:val="24"/>
        </w:rPr>
        <w:t xml:space="preserve"> </w:t>
      </w:r>
      <w:proofErr w:type="spellStart"/>
      <w:r w:rsidRPr="00A127AE">
        <w:rPr>
          <w:sz w:val="24"/>
        </w:rPr>
        <w:t>Arthrosc</w:t>
      </w:r>
      <w:proofErr w:type="spellEnd"/>
      <w:r w:rsidRPr="00A127AE">
        <w:rPr>
          <w:sz w:val="24"/>
        </w:rPr>
        <w:t xml:space="preserve"> 2009</w:t>
      </w:r>
      <w:proofErr w:type="gramStart"/>
      <w:r w:rsidRPr="00A127AE">
        <w:rPr>
          <w:sz w:val="24"/>
        </w:rPr>
        <w:t>;17</w:t>
      </w:r>
      <w:proofErr w:type="gramEnd"/>
      <w:r w:rsidRPr="00A127AE">
        <w:rPr>
          <w:sz w:val="24"/>
        </w:rPr>
        <w:t>(7):835</w:t>
      </w:r>
      <w:r>
        <w:rPr>
          <w:sz w:val="24"/>
        </w:rPr>
        <w:t>-</w:t>
      </w:r>
      <w:r w:rsidRPr="00A127AE">
        <w:rPr>
          <w:sz w:val="24"/>
        </w:rPr>
        <w:t xml:space="preserve">839. </w:t>
      </w:r>
    </w:p>
    <w:p w:rsidR="00416496" w:rsidRPr="00A127AE" w:rsidRDefault="00416496" w:rsidP="00416496">
      <w:pPr>
        <w:rPr>
          <w:sz w:val="24"/>
          <w:lang w:val="es-US"/>
        </w:rPr>
      </w:pPr>
      <w:r>
        <w:rPr>
          <w:sz w:val="24"/>
        </w:rPr>
        <w:t>5</w:t>
      </w:r>
      <w:r w:rsidRPr="00A127AE">
        <w:rPr>
          <w:sz w:val="24"/>
        </w:rPr>
        <w:t xml:space="preserve">. </w:t>
      </w:r>
      <w:proofErr w:type="spellStart"/>
      <w:r w:rsidRPr="00A127AE">
        <w:rPr>
          <w:sz w:val="24"/>
        </w:rPr>
        <w:t>Meunier</w:t>
      </w:r>
      <w:proofErr w:type="spellEnd"/>
      <w:r w:rsidRPr="00A127AE">
        <w:rPr>
          <w:sz w:val="24"/>
        </w:rPr>
        <w:t xml:space="preserve"> L, </w:t>
      </w:r>
      <w:proofErr w:type="spellStart"/>
      <w:r w:rsidRPr="00A127AE">
        <w:rPr>
          <w:sz w:val="24"/>
        </w:rPr>
        <w:t>Larrey</w:t>
      </w:r>
      <w:proofErr w:type="spellEnd"/>
      <w:r w:rsidRPr="00A127AE">
        <w:rPr>
          <w:sz w:val="24"/>
        </w:rPr>
        <w:t xml:space="preserve"> D. Recent advances in hepatotoxicity of non-steroidal anti-inflammatory drugs. </w:t>
      </w:r>
      <w:r w:rsidRPr="00271DE5">
        <w:rPr>
          <w:sz w:val="24"/>
          <w:lang w:val="es-US"/>
        </w:rPr>
        <w:t xml:space="preserve">Ann </w:t>
      </w:r>
      <w:proofErr w:type="spellStart"/>
      <w:r w:rsidRPr="00271DE5">
        <w:rPr>
          <w:sz w:val="24"/>
          <w:lang w:val="es-US"/>
        </w:rPr>
        <w:t>Hepatol</w:t>
      </w:r>
      <w:proofErr w:type="spellEnd"/>
      <w:r w:rsidRPr="00271DE5">
        <w:rPr>
          <w:sz w:val="24"/>
          <w:lang w:val="es-US"/>
        </w:rPr>
        <w:t xml:space="preserve"> 2018</w:t>
      </w:r>
      <w:proofErr w:type="gramStart"/>
      <w:r w:rsidRPr="00271DE5">
        <w:rPr>
          <w:sz w:val="24"/>
          <w:lang w:val="es-US"/>
        </w:rPr>
        <w:t>;17</w:t>
      </w:r>
      <w:proofErr w:type="gramEnd"/>
      <w:r w:rsidRPr="00271DE5">
        <w:rPr>
          <w:sz w:val="24"/>
          <w:lang w:val="es-US"/>
        </w:rPr>
        <w:t xml:space="preserve">(2):187-191. </w:t>
      </w:r>
    </w:p>
    <w:p w:rsidR="00416496" w:rsidRPr="00A127AE" w:rsidRDefault="00416496" w:rsidP="00E058B5">
      <w:pPr>
        <w:rPr>
          <w:sz w:val="24"/>
          <w:lang w:val="es-US"/>
        </w:rPr>
      </w:pPr>
      <w:r>
        <w:rPr>
          <w:sz w:val="24"/>
          <w:lang w:val="es-US"/>
        </w:rPr>
        <w:t>6</w:t>
      </w:r>
      <w:r w:rsidRPr="00A127AE">
        <w:rPr>
          <w:sz w:val="24"/>
          <w:lang w:val="es-US"/>
        </w:rPr>
        <w:t xml:space="preserve">. </w:t>
      </w:r>
      <w:proofErr w:type="spellStart"/>
      <w:r w:rsidRPr="00A127AE">
        <w:rPr>
          <w:sz w:val="24"/>
          <w:lang w:val="es-US"/>
        </w:rPr>
        <w:t>Ashkani-Esfahani</w:t>
      </w:r>
      <w:proofErr w:type="spellEnd"/>
      <w:r w:rsidRPr="00A127AE">
        <w:rPr>
          <w:sz w:val="24"/>
          <w:lang w:val="es-US"/>
        </w:rPr>
        <w:t xml:space="preserve"> S, </w:t>
      </w:r>
      <w:proofErr w:type="spellStart"/>
      <w:r w:rsidRPr="00A127AE">
        <w:rPr>
          <w:sz w:val="24"/>
          <w:lang w:val="es-US"/>
        </w:rPr>
        <w:t>Emami</w:t>
      </w:r>
      <w:proofErr w:type="spellEnd"/>
      <w:r w:rsidRPr="00A127AE">
        <w:rPr>
          <w:sz w:val="24"/>
          <w:lang w:val="es-US"/>
        </w:rPr>
        <w:t xml:space="preserve"> Y, </w:t>
      </w:r>
      <w:proofErr w:type="spellStart"/>
      <w:r w:rsidRPr="00A127AE">
        <w:rPr>
          <w:sz w:val="24"/>
          <w:lang w:val="es-US"/>
        </w:rPr>
        <w:t>Esmaeilzadeh</w:t>
      </w:r>
      <w:proofErr w:type="spellEnd"/>
      <w:r w:rsidRPr="00A127AE">
        <w:rPr>
          <w:sz w:val="24"/>
          <w:lang w:val="es-US"/>
        </w:rPr>
        <w:t xml:space="preserve"> E, et al. </w:t>
      </w:r>
      <w:r w:rsidRPr="00A127AE">
        <w:rPr>
          <w:sz w:val="24"/>
        </w:rPr>
        <w:t xml:space="preserve">Silymarin enhanced fibroblast proliferation and tissue regeneration in full thickness skin wounds in rat models; a stereological study. </w:t>
      </w:r>
      <w:r w:rsidRPr="00271DE5">
        <w:rPr>
          <w:sz w:val="24"/>
          <w:lang w:val="es-US"/>
        </w:rPr>
        <w:t xml:space="preserve">J </w:t>
      </w:r>
      <w:proofErr w:type="spellStart"/>
      <w:r w:rsidRPr="00271DE5">
        <w:rPr>
          <w:sz w:val="24"/>
          <w:lang w:val="es-US"/>
        </w:rPr>
        <w:t>Dermatol</w:t>
      </w:r>
      <w:proofErr w:type="spellEnd"/>
      <w:r w:rsidRPr="00271DE5">
        <w:rPr>
          <w:sz w:val="24"/>
          <w:lang w:val="es-US"/>
        </w:rPr>
        <w:t xml:space="preserve"> </w:t>
      </w:r>
      <w:proofErr w:type="spellStart"/>
      <w:r w:rsidRPr="00271DE5">
        <w:rPr>
          <w:sz w:val="24"/>
          <w:lang w:val="es-US"/>
        </w:rPr>
        <w:t>Dermatol</w:t>
      </w:r>
      <w:proofErr w:type="spellEnd"/>
      <w:r w:rsidRPr="00271DE5">
        <w:rPr>
          <w:sz w:val="24"/>
          <w:lang w:val="es-US"/>
        </w:rPr>
        <w:t xml:space="preserve"> </w:t>
      </w:r>
      <w:proofErr w:type="spellStart"/>
      <w:r w:rsidRPr="00271DE5">
        <w:rPr>
          <w:sz w:val="24"/>
          <w:lang w:val="es-US"/>
        </w:rPr>
        <w:t>Surg</w:t>
      </w:r>
      <w:proofErr w:type="spellEnd"/>
      <w:r w:rsidRPr="00271DE5">
        <w:rPr>
          <w:sz w:val="24"/>
          <w:lang w:val="es-US"/>
        </w:rPr>
        <w:t xml:space="preserve"> 2013</w:t>
      </w:r>
      <w:proofErr w:type="gramStart"/>
      <w:r w:rsidRPr="00271DE5">
        <w:rPr>
          <w:sz w:val="24"/>
          <w:lang w:val="es-US"/>
        </w:rPr>
        <w:t>;17</w:t>
      </w:r>
      <w:proofErr w:type="gramEnd"/>
      <w:r w:rsidRPr="00271DE5">
        <w:rPr>
          <w:sz w:val="24"/>
          <w:lang w:val="es-US"/>
        </w:rPr>
        <w:t xml:space="preserve">(1):7-12. </w:t>
      </w:r>
    </w:p>
    <w:p w:rsidR="00416496" w:rsidRPr="00A127AE" w:rsidRDefault="00416496" w:rsidP="00416496">
      <w:pPr>
        <w:rPr>
          <w:sz w:val="24"/>
        </w:rPr>
      </w:pPr>
      <w:r>
        <w:rPr>
          <w:sz w:val="24"/>
          <w:lang w:val="es-US"/>
        </w:rPr>
        <w:t>7</w:t>
      </w:r>
      <w:r w:rsidRPr="00A127AE">
        <w:rPr>
          <w:sz w:val="24"/>
          <w:lang w:val="es-US"/>
        </w:rPr>
        <w:t xml:space="preserve">. </w:t>
      </w:r>
      <w:proofErr w:type="spellStart"/>
      <w:r w:rsidRPr="00A127AE">
        <w:rPr>
          <w:sz w:val="24"/>
          <w:lang w:val="es-US"/>
        </w:rPr>
        <w:t>Alaseirlis</w:t>
      </w:r>
      <w:proofErr w:type="spellEnd"/>
      <w:r w:rsidRPr="00A127AE">
        <w:rPr>
          <w:sz w:val="24"/>
          <w:lang w:val="es-US"/>
        </w:rPr>
        <w:t xml:space="preserve"> DA, Li Y, </w:t>
      </w:r>
      <w:proofErr w:type="spellStart"/>
      <w:r w:rsidRPr="00A127AE">
        <w:rPr>
          <w:sz w:val="24"/>
          <w:lang w:val="es-US"/>
        </w:rPr>
        <w:t>Cilli</w:t>
      </w:r>
      <w:proofErr w:type="spellEnd"/>
      <w:r w:rsidRPr="00A127AE">
        <w:rPr>
          <w:sz w:val="24"/>
          <w:lang w:val="es-US"/>
        </w:rPr>
        <w:t xml:space="preserve"> F, et al. </w:t>
      </w:r>
      <w:r w:rsidRPr="00A127AE">
        <w:rPr>
          <w:sz w:val="24"/>
        </w:rPr>
        <w:t>Decreasing inflammatory response of injured patellar tendons results in increased collagen fibril diameters. Connect Tissue Res 2005</w:t>
      </w:r>
      <w:proofErr w:type="gramStart"/>
      <w:r w:rsidRPr="00A127AE">
        <w:rPr>
          <w:sz w:val="24"/>
        </w:rPr>
        <w:t>;46</w:t>
      </w:r>
      <w:proofErr w:type="gramEnd"/>
      <w:r w:rsidRPr="00A127AE">
        <w:rPr>
          <w:sz w:val="24"/>
        </w:rPr>
        <w:t>(1):12</w:t>
      </w:r>
      <w:r>
        <w:rPr>
          <w:sz w:val="24"/>
        </w:rPr>
        <w:t>-</w:t>
      </w:r>
      <w:r w:rsidRPr="00A127AE">
        <w:rPr>
          <w:sz w:val="24"/>
        </w:rPr>
        <w:t xml:space="preserve">17. </w:t>
      </w:r>
    </w:p>
    <w:p w:rsidR="00416496" w:rsidRPr="00A127AE" w:rsidRDefault="00416496" w:rsidP="00416496">
      <w:pPr>
        <w:rPr>
          <w:sz w:val="24"/>
        </w:rPr>
      </w:pPr>
      <w:r>
        <w:rPr>
          <w:sz w:val="24"/>
        </w:rPr>
        <w:t>8</w:t>
      </w:r>
      <w:r w:rsidRPr="00A127AE">
        <w:rPr>
          <w:sz w:val="24"/>
        </w:rPr>
        <w:t xml:space="preserve">. </w:t>
      </w:r>
      <w:proofErr w:type="spellStart"/>
      <w:r w:rsidRPr="00A127AE">
        <w:rPr>
          <w:sz w:val="24"/>
        </w:rPr>
        <w:t>Hussain</w:t>
      </w:r>
      <w:proofErr w:type="spellEnd"/>
      <w:r w:rsidRPr="00A127AE">
        <w:rPr>
          <w:sz w:val="24"/>
        </w:rPr>
        <w:t xml:space="preserve"> SA, </w:t>
      </w:r>
      <w:proofErr w:type="spellStart"/>
      <w:r w:rsidRPr="00A127AE">
        <w:rPr>
          <w:sz w:val="24"/>
        </w:rPr>
        <w:t>Jassim</w:t>
      </w:r>
      <w:proofErr w:type="spellEnd"/>
      <w:r w:rsidRPr="00A127AE">
        <w:rPr>
          <w:sz w:val="24"/>
        </w:rPr>
        <w:t xml:space="preserve"> NA, </w:t>
      </w:r>
      <w:proofErr w:type="spellStart"/>
      <w:r w:rsidRPr="00A127AE">
        <w:rPr>
          <w:sz w:val="24"/>
        </w:rPr>
        <w:t>Numan</w:t>
      </w:r>
      <w:proofErr w:type="spellEnd"/>
      <w:r w:rsidRPr="00A127AE">
        <w:rPr>
          <w:sz w:val="24"/>
        </w:rPr>
        <w:t xml:space="preserve"> IT, et al. Anti-inflammatory activity of silymarin in patients with knee osteoarthritis A comparative study with </w:t>
      </w:r>
      <w:proofErr w:type="spellStart"/>
      <w:r w:rsidRPr="00A127AE">
        <w:rPr>
          <w:sz w:val="24"/>
        </w:rPr>
        <w:t>piro-xicam</w:t>
      </w:r>
      <w:proofErr w:type="spellEnd"/>
      <w:r w:rsidRPr="00A127AE">
        <w:rPr>
          <w:sz w:val="24"/>
        </w:rPr>
        <w:t xml:space="preserve"> and meloxicam. </w:t>
      </w:r>
      <w:r>
        <w:rPr>
          <w:sz w:val="24"/>
        </w:rPr>
        <w:t>Saudi Med J</w:t>
      </w:r>
      <w:r w:rsidRPr="00A127AE">
        <w:rPr>
          <w:sz w:val="24"/>
        </w:rPr>
        <w:t xml:space="preserve"> 2009</w:t>
      </w:r>
      <w:proofErr w:type="gramStart"/>
      <w:r w:rsidRPr="00A127AE">
        <w:rPr>
          <w:sz w:val="24"/>
        </w:rPr>
        <w:t>;30</w:t>
      </w:r>
      <w:proofErr w:type="gramEnd"/>
      <w:r w:rsidRPr="00A127AE">
        <w:rPr>
          <w:sz w:val="24"/>
        </w:rPr>
        <w:t>(1):98</w:t>
      </w:r>
      <w:r>
        <w:rPr>
          <w:sz w:val="24"/>
        </w:rPr>
        <w:t>-</w:t>
      </w:r>
      <w:r w:rsidRPr="00A127AE">
        <w:rPr>
          <w:sz w:val="24"/>
        </w:rPr>
        <w:t xml:space="preserve">103. </w:t>
      </w:r>
    </w:p>
    <w:p w:rsidR="00416496" w:rsidRPr="00A127AE" w:rsidRDefault="00416496" w:rsidP="00416496">
      <w:pPr>
        <w:rPr>
          <w:sz w:val="24"/>
        </w:rPr>
      </w:pPr>
      <w:r w:rsidRPr="00021684">
        <w:rPr>
          <w:sz w:val="24"/>
        </w:rPr>
        <w:t>9</w:t>
      </w:r>
      <w:r w:rsidRPr="00A127AE">
        <w:rPr>
          <w:sz w:val="24"/>
        </w:rPr>
        <w:t xml:space="preserve">. </w:t>
      </w:r>
      <w:proofErr w:type="spellStart"/>
      <w:r w:rsidRPr="00021684">
        <w:rPr>
          <w:sz w:val="24"/>
        </w:rPr>
        <w:t>Docheva</w:t>
      </w:r>
      <w:proofErr w:type="spellEnd"/>
      <w:r w:rsidRPr="00021684">
        <w:rPr>
          <w:sz w:val="24"/>
        </w:rPr>
        <w:t xml:space="preserve"> D, Müller SA, </w:t>
      </w:r>
      <w:proofErr w:type="spellStart"/>
      <w:r w:rsidRPr="00021684">
        <w:rPr>
          <w:sz w:val="24"/>
        </w:rPr>
        <w:t>Majewski</w:t>
      </w:r>
      <w:proofErr w:type="spellEnd"/>
      <w:r w:rsidRPr="00021684">
        <w:rPr>
          <w:sz w:val="24"/>
        </w:rPr>
        <w:t xml:space="preserve"> M, et al. </w:t>
      </w:r>
      <w:r w:rsidRPr="00A127AE">
        <w:rPr>
          <w:sz w:val="24"/>
        </w:rPr>
        <w:t xml:space="preserve">Biologics for tendon repair. </w:t>
      </w:r>
      <w:proofErr w:type="spellStart"/>
      <w:r w:rsidRPr="00A127AE">
        <w:rPr>
          <w:sz w:val="24"/>
        </w:rPr>
        <w:t>Adv</w:t>
      </w:r>
      <w:proofErr w:type="spellEnd"/>
      <w:r w:rsidRPr="00A127AE">
        <w:rPr>
          <w:sz w:val="24"/>
        </w:rPr>
        <w:t xml:space="preserve"> Drug </w:t>
      </w:r>
      <w:proofErr w:type="spellStart"/>
      <w:r w:rsidRPr="00A127AE">
        <w:rPr>
          <w:sz w:val="24"/>
        </w:rPr>
        <w:t>Deliv</w:t>
      </w:r>
      <w:proofErr w:type="spellEnd"/>
      <w:r w:rsidRPr="00A127AE">
        <w:rPr>
          <w:sz w:val="24"/>
        </w:rPr>
        <w:t xml:space="preserve"> Rev 2014</w:t>
      </w:r>
      <w:proofErr w:type="gramStart"/>
      <w:r w:rsidRPr="00A127AE">
        <w:rPr>
          <w:sz w:val="24"/>
        </w:rPr>
        <w:t>;84:222</w:t>
      </w:r>
      <w:proofErr w:type="gramEnd"/>
      <w:r>
        <w:rPr>
          <w:sz w:val="24"/>
        </w:rPr>
        <w:t>-</w:t>
      </w:r>
      <w:r w:rsidRPr="00A127AE">
        <w:rPr>
          <w:sz w:val="24"/>
        </w:rPr>
        <w:t xml:space="preserve">239. </w:t>
      </w:r>
    </w:p>
    <w:p w:rsidR="00416496" w:rsidRPr="00A127AE" w:rsidRDefault="00416496" w:rsidP="00416496">
      <w:pPr>
        <w:rPr>
          <w:sz w:val="24"/>
        </w:rPr>
      </w:pPr>
      <w:r w:rsidRPr="00021684">
        <w:rPr>
          <w:sz w:val="24"/>
        </w:rPr>
        <w:t>10</w:t>
      </w:r>
      <w:r w:rsidRPr="00A127AE">
        <w:rPr>
          <w:sz w:val="24"/>
        </w:rPr>
        <w:t xml:space="preserve">. </w:t>
      </w:r>
      <w:proofErr w:type="spellStart"/>
      <w:r w:rsidRPr="00021684">
        <w:rPr>
          <w:sz w:val="24"/>
        </w:rPr>
        <w:t>Sharifi</w:t>
      </w:r>
      <w:proofErr w:type="spellEnd"/>
      <w:r w:rsidRPr="00021684">
        <w:rPr>
          <w:sz w:val="24"/>
        </w:rPr>
        <w:t xml:space="preserve"> R, </w:t>
      </w:r>
      <w:proofErr w:type="spellStart"/>
      <w:r w:rsidRPr="00021684">
        <w:rPr>
          <w:sz w:val="24"/>
        </w:rPr>
        <w:t>Pasalar</w:t>
      </w:r>
      <w:proofErr w:type="spellEnd"/>
      <w:r w:rsidRPr="00021684">
        <w:rPr>
          <w:sz w:val="24"/>
        </w:rPr>
        <w:t xml:space="preserve"> P, </w:t>
      </w:r>
      <w:proofErr w:type="spellStart"/>
      <w:r w:rsidRPr="00021684">
        <w:rPr>
          <w:sz w:val="24"/>
        </w:rPr>
        <w:t>Kamalinejad</w:t>
      </w:r>
      <w:proofErr w:type="spellEnd"/>
      <w:r w:rsidRPr="00021684">
        <w:rPr>
          <w:sz w:val="24"/>
        </w:rPr>
        <w:t xml:space="preserve"> M, et al. </w:t>
      </w:r>
      <w:r w:rsidRPr="00A127AE">
        <w:rPr>
          <w:sz w:val="24"/>
        </w:rPr>
        <w:t xml:space="preserve">The effect of </w:t>
      </w:r>
      <w:proofErr w:type="spellStart"/>
      <w:r w:rsidRPr="00A127AE">
        <w:rPr>
          <w:sz w:val="24"/>
        </w:rPr>
        <w:t>silymarin</w:t>
      </w:r>
      <w:proofErr w:type="spellEnd"/>
      <w:r w:rsidRPr="00A127AE">
        <w:rPr>
          <w:sz w:val="24"/>
        </w:rPr>
        <w:t xml:space="preserve"> (</w:t>
      </w:r>
      <w:proofErr w:type="spellStart"/>
      <w:r w:rsidRPr="00A127AE">
        <w:rPr>
          <w:sz w:val="24"/>
        </w:rPr>
        <w:t>Silybum</w:t>
      </w:r>
      <w:proofErr w:type="spellEnd"/>
      <w:r w:rsidRPr="00A127AE">
        <w:rPr>
          <w:sz w:val="24"/>
        </w:rPr>
        <w:t xml:space="preserve"> </w:t>
      </w:r>
      <w:proofErr w:type="spellStart"/>
      <w:r w:rsidRPr="00A127AE">
        <w:rPr>
          <w:sz w:val="24"/>
        </w:rPr>
        <w:t>marianum</w:t>
      </w:r>
      <w:proofErr w:type="spellEnd"/>
      <w:r w:rsidRPr="00A127AE">
        <w:rPr>
          <w:sz w:val="24"/>
        </w:rPr>
        <w:t xml:space="preserve">) on human skin fibroblasts in an in vitro wound healing model. Pharm </w:t>
      </w:r>
      <w:proofErr w:type="spellStart"/>
      <w:r w:rsidRPr="00A127AE">
        <w:rPr>
          <w:sz w:val="24"/>
        </w:rPr>
        <w:t>Biol</w:t>
      </w:r>
      <w:proofErr w:type="spellEnd"/>
      <w:r w:rsidRPr="00A127AE">
        <w:rPr>
          <w:sz w:val="24"/>
        </w:rPr>
        <w:t xml:space="preserve"> 2013</w:t>
      </w:r>
      <w:proofErr w:type="gramStart"/>
      <w:r w:rsidRPr="00A127AE">
        <w:rPr>
          <w:sz w:val="24"/>
        </w:rPr>
        <w:t>;51</w:t>
      </w:r>
      <w:proofErr w:type="gramEnd"/>
      <w:r w:rsidRPr="00A127AE">
        <w:rPr>
          <w:sz w:val="24"/>
        </w:rPr>
        <w:t>(3):298</w:t>
      </w:r>
      <w:r>
        <w:rPr>
          <w:sz w:val="24"/>
        </w:rPr>
        <w:t>-</w:t>
      </w:r>
      <w:r w:rsidRPr="00A127AE">
        <w:rPr>
          <w:sz w:val="24"/>
        </w:rPr>
        <w:t xml:space="preserve">303. </w:t>
      </w:r>
    </w:p>
    <w:p w:rsidR="00416496" w:rsidRPr="00A127AE" w:rsidRDefault="00416496" w:rsidP="00416496">
      <w:pPr>
        <w:rPr>
          <w:sz w:val="24"/>
        </w:rPr>
      </w:pPr>
      <w:r>
        <w:rPr>
          <w:sz w:val="24"/>
        </w:rPr>
        <w:t>11</w:t>
      </w:r>
      <w:r w:rsidRPr="00A127AE">
        <w:rPr>
          <w:sz w:val="24"/>
        </w:rPr>
        <w:t>. Ratner B, Hoffman AS, Schoen F, et al. Biomaterials science: An introduction to materials in medicine. 3</w:t>
      </w:r>
      <w:r w:rsidRPr="00271DE5">
        <w:rPr>
          <w:sz w:val="24"/>
          <w:vertAlign w:val="superscript"/>
        </w:rPr>
        <w:t>rd</w:t>
      </w:r>
      <w:r w:rsidRPr="00A127AE">
        <w:rPr>
          <w:sz w:val="24"/>
        </w:rPr>
        <w:t xml:space="preserve"> </w:t>
      </w:r>
      <w:proofErr w:type="gramStart"/>
      <w:r w:rsidRPr="00A127AE">
        <w:rPr>
          <w:sz w:val="24"/>
        </w:rPr>
        <w:t>ed</w:t>
      </w:r>
      <w:proofErr w:type="gramEnd"/>
      <w:r w:rsidRPr="00A127AE">
        <w:rPr>
          <w:sz w:val="24"/>
        </w:rPr>
        <w:t>. New York, USA:  Academic Press; 2013. pp. 1</w:t>
      </w:r>
      <w:r>
        <w:rPr>
          <w:sz w:val="24"/>
        </w:rPr>
        <w:t>-</w:t>
      </w:r>
      <w:r w:rsidRPr="00A127AE">
        <w:rPr>
          <w:sz w:val="24"/>
        </w:rPr>
        <w:t xml:space="preserve">55. </w:t>
      </w:r>
    </w:p>
    <w:p w:rsidR="00416496" w:rsidRPr="00A127AE" w:rsidRDefault="00416496" w:rsidP="00416496">
      <w:pPr>
        <w:rPr>
          <w:sz w:val="24"/>
        </w:rPr>
      </w:pPr>
      <w:r>
        <w:rPr>
          <w:sz w:val="24"/>
        </w:rPr>
        <w:t>12</w:t>
      </w:r>
      <w:r w:rsidRPr="00A127AE">
        <w:rPr>
          <w:sz w:val="24"/>
        </w:rPr>
        <w:t xml:space="preserve">. </w:t>
      </w:r>
      <w:proofErr w:type="spellStart"/>
      <w:r w:rsidRPr="00A127AE">
        <w:rPr>
          <w:sz w:val="24"/>
        </w:rPr>
        <w:t>Witvrouw</w:t>
      </w:r>
      <w:proofErr w:type="spellEnd"/>
      <w:r w:rsidRPr="00A127AE">
        <w:rPr>
          <w:sz w:val="24"/>
        </w:rPr>
        <w:t xml:space="preserve"> E, </w:t>
      </w:r>
      <w:bookmarkStart w:id="0" w:name="_GoBack"/>
      <w:proofErr w:type="spellStart"/>
      <w:r w:rsidRPr="00A127AE">
        <w:rPr>
          <w:sz w:val="24"/>
        </w:rPr>
        <w:t>Mahieu</w:t>
      </w:r>
      <w:proofErr w:type="spellEnd"/>
      <w:r w:rsidRPr="00A127AE">
        <w:rPr>
          <w:sz w:val="24"/>
        </w:rPr>
        <w:t xml:space="preserve"> N, </w:t>
      </w:r>
      <w:proofErr w:type="spellStart"/>
      <w:r w:rsidRPr="00A127AE">
        <w:rPr>
          <w:sz w:val="24"/>
        </w:rPr>
        <w:t>Roosen</w:t>
      </w:r>
      <w:proofErr w:type="spellEnd"/>
      <w:r w:rsidRPr="00A127AE">
        <w:rPr>
          <w:sz w:val="24"/>
        </w:rPr>
        <w:t xml:space="preserve"> P, et al. The role of stretching in tendon </w:t>
      </w:r>
      <w:r w:rsidRPr="00A127AE">
        <w:rPr>
          <w:sz w:val="24"/>
          <w:cs/>
        </w:rPr>
        <w:t>‎</w:t>
      </w:r>
      <w:r w:rsidRPr="00A127AE">
        <w:rPr>
          <w:sz w:val="24"/>
        </w:rPr>
        <w:t>injuries. Br J Sports Med 2007</w:t>
      </w:r>
      <w:proofErr w:type="gramStart"/>
      <w:r w:rsidRPr="00A127AE">
        <w:rPr>
          <w:sz w:val="24"/>
        </w:rPr>
        <w:t>;41</w:t>
      </w:r>
      <w:proofErr w:type="gramEnd"/>
      <w:r w:rsidRPr="00A127AE">
        <w:rPr>
          <w:sz w:val="24"/>
        </w:rPr>
        <w:t>(4):224</w:t>
      </w:r>
      <w:r>
        <w:rPr>
          <w:sz w:val="24"/>
        </w:rPr>
        <w:t>-</w:t>
      </w:r>
      <w:r w:rsidRPr="00A127AE">
        <w:rPr>
          <w:sz w:val="24"/>
        </w:rPr>
        <w:t xml:space="preserve">226. </w:t>
      </w:r>
    </w:p>
    <w:bookmarkEnd w:id="0"/>
    <w:p w:rsidR="00416496" w:rsidRPr="00A127AE" w:rsidRDefault="00416496" w:rsidP="00416496">
      <w:pPr>
        <w:spacing w:line="360" w:lineRule="auto"/>
        <w:jc w:val="both"/>
        <w:rPr>
          <w:rFonts w:asciiTheme="majorBidi" w:hAnsiTheme="majorBidi" w:cstheme="majorBidi"/>
        </w:rPr>
      </w:pPr>
    </w:p>
    <w:p w:rsidR="00416496" w:rsidRPr="00777A1A" w:rsidRDefault="00416496" w:rsidP="00416496">
      <w:pPr>
        <w:spacing w:line="360" w:lineRule="auto"/>
        <w:rPr>
          <w:sz w:val="24"/>
        </w:rPr>
      </w:pPr>
    </w:p>
    <w:p w:rsidR="00796F69" w:rsidRDefault="00796F69"/>
    <w:sectPr w:rsidR="00796F69" w:rsidSect="0041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96"/>
    <w:rsid w:val="001057B9"/>
    <w:rsid w:val="001114AB"/>
    <w:rsid w:val="00241C8B"/>
    <w:rsid w:val="00332F61"/>
    <w:rsid w:val="00416496"/>
    <w:rsid w:val="00796F69"/>
    <w:rsid w:val="00B71DCF"/>
    <w:rsid w:val="00E058B5"/>
    <w:rsid w:val="00FC4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416FE-EBC0-41F4-8F6B-5D84D75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96"/>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416496"/>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496"/>
    <w:rPr>
      <w:rFonts w:ascii="Times New Roman" w:eastAsia="Times New Roman" w:hAnsi="Times New Roman" w:cs="Times New Roman"/>
      <w:b/>
      <w:bCs/>
      <w:kern w:val="32"/>
      <w:sz w:val="32"/>
      <w:szCs w:val="32"/>
    </w:rPr>
  </w:style>
  <w:style w:type="paragraph" w:customStyle="1" w:styleId="p">
    <w:name w:val="p"/>
    <w:basedOn w:val="Normal"/>
    <w:rsid w:val="00416496"/>
    <w:pPr>
      <w:spacing w:before="100" w:beforeAutospacing="1" w:after="100" w:afterAutospacing="1"/>
    </w:pPr>
    <w:rPr>
      <w:sz w:val="24"/>
    </w:rPr>
  </w:style>
  <w:style w:type="paragraph" w:styleId="NormalWeb">
    <w:name w:val="Normal (Web)"/>
    <w:basedOn w:val="Normal"/>
    <w:uiPriority w:val="99"/>
    <w:semiHidden/>
    <w:unhideWhenUsed/>
    <w:rsid w:val="00416496"/>
    <w:pPr>
      <w:spacing w:before="100" w:beforeAutospacing="1" w:after="100" w:afterAutospacing="1"/>
    </w:pPr>
    <w:rPr>
      <w:sz w:val="24"/>
    </w:rPr>
  </w:style>
  <w:style w:type="character" w:styleId="Emphasis">
    <w:name w:val="Emphasis"/>
    <w:basedOn w:val="DefaultParagraphFont"/>
    <w:uiPriority w:val="20"/>
    <w:qFormat/>
    <w:rsid w:val="00416496"/>
    <w:rPr>
      <w:i/>
      <w:iCs/>
    </w:rPr>
  </w:style>
  <w:style w:type="character" w:styleId="Strong">
    <w:name w:val="Strong"/>
    <w:basedOn w:val="DefaultParagraphFont"/>
    <w:uiPriority w:val="22"/>
    <w:qFormat/>
    <w:rsid w:val="00416496"/>
    <w:rPr>
      <w:b/>
      <w:bCs/>
    </w:rPr>
  </w:style>
  <w:style w:type="table" w:styleId="TableGrid">
    <w:name w:val="Table Grid"/>
    <w:basedOn w:val="TableNormal"/>
    <w:uiPriority w:val="39"/>
    <w:rsid w:val="00416496"/>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list-item">
    <w:name w:val="authors-list-item"/>
    <w:basedOn w:val="DefaultParagraphFont"/>
    <w:rsid w:val="00416496"/>
  </w:style>
  <w:style w:type="character" w:customStyle="1" w:styleId="author-sup-separator">
    <w:name w:val="author-sup-separator"/>
    <w:basedOn w:val="DefaultParagraphFont"/>
    <w:rsid w:val="00416496"/>
  </w:style>
  <w:style w:type="character" w:customStyle="1" w:styleId="comma">
    <w:name w:val="comma"/>
    <w:basedOn w:val="DefaultParagraphFont"/>
    <w:rsid w:val="00416496"/>
  </w:style>
  <w:style w:type="paragraph" w:customStyle="1" w:styleId="justifytxt">
    <w:name w:val="justify_txt"/>
    <w:basedOn w:val="Normal"/>
    <w:rsid w:val="00B71DC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6</cp:revision>
  <dcterms:created xsi:type="dcterms:W3CDTF">2024-04-11T09:35:00Z</dcterms:created>
  <dcterms:modified xsi:type="dcterms:W3CDTF">2024-05-08T21:25:00Z</dcterms:modified>
</cp:coreProperties>
</file>